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4"/>
        <w:spacing w:after="31"/>
        <w:ind w:firstLine="753"/>
        <w:rPr>
          <w:rFonts w:eastAsia="楷体_GB2312"/>
          <w:b/>
          <w:spacing w:val="30"/>
          <w:w w:val="66"/>
          <w:sz w:val="48"/>
          <w:szCs w:val="44"/>
        </w:rPr>
      </w:pPr>
      <w:bookmarkStart w:id="0" w:name="_Hlk498607486"/>
    </w:p>
    <w:p>
      <w:pPr>
        <w:pStyle w:val="14"/>
        <w:spacing w:after="31"/>
        <w:ind w:firstLine="0" w:firstLineChars="0"/>
        <w:jc w:val="center"/>
        <w:rPr>
          <w:rFonts w:hint="eastAsia" w:eastAsia="楷体_GB2312"/>
          <w:b/>
          <w:spacing w:val="30"/>
          <w:w w:val="66"/>
          <w:sz w:val="52"/>
          <w:szCs w:val="52"/>
        </w:rPr>
      </w:pPr>
      <w:r>
        <w:rPr>
          <w:rFonts w:hint="eastAsia" w:eastAsia="楷体_GB2312"/>
          <w:b/>
          <w:spacing w:val="30"/>
          <w:w w:val="66"/>
          <w:sz w:val="52"/>
          <w:szCs w:val="52"/>
        </w:rPr>
        <w:t>阿坝县莲班路（安斗乡至罗云措沟段）美丽乡村路建设对四川阿坝莲宝叶则省级湿地公园</w:t>
      </w:r>
    </w:p>
    <w:p>
      <w:pPr>
        <w:pStyle w:val="14"/>
        <w:spacing w:after="31"/>
        <w:ind w:firstLine="0" w:firstLineChars="0"/>
        <w:jc w:val="center"/>
        <w:rPr>
          <w:rFonts w:eastAsia="楷体_GB2312"/>
          <w:b/>
          <w:spacing w:val="30"/>
          <w:w w:val="66"/>
          <w:sz w:val="72"/>
          <w:szCs w:val="72"/>
        </w:rPr>
      </w:pPr>
      <w:r>
        <w:rPr>
          <w:rFonts w:hint="eastAsia" w:eastAsia="楷体_GB2312"/>
          <w:b/>
          <w:spacing w:val="30"/>
          <w:w w:val="66"/>
          <w:sz w:val="72"/>
          <w:szCs w:val="72"/>
        </w:rPr>
        <w:t>生态影响评价报告</w:t>
      </w:r>
    </w:p>
    <w:p>
      <w:pPr>
        <w:pStyle w:val="14"/>
        <w:spacing w:after="31"/>
        <w:ind w:firstLine="701"/>
        <w:jc w:val="center"/>
        <w:rPr>
          <w:rFonts w:eastAsia="楷体_GB2312"/>
          <w:b/>
          <w:spacing w:val="30"/>
          <w:w w:val="66"/>
          <w:sz w:val="44"/>
          <w:szCs w:val="44"/>
        </w:rPr>
      </w:pPr>
    </w:p>
    <w:p>
      <w:pPr>
        <w:pStyle w:val="14"/>
        <w:spacing w:after="31"/>
        <w:ind w:firstLine="859"/>
        <w:jc w:val="center"/>
        <w:rPr>
          <w:rFonts w:eastAsia="楷体_GB2312"/>
          <w:b/>
          <w:spacing w:val="30"/>
          <w:w w:val="66"/>
          <w:sz w:val="56"/>
          <w:szCs w:val="72"/>
        </w:rPr>
      </w:pPr>
    </w:p>
    <w:p>
      <w:pPr>
        <w:pStyle w:val="14"/>
        <w:spacing w:after="31"/>
        <w:ind w:firstLine="1008"/>
        <w:rPr>
          <w:rFonts w:eastAsia="楷体_GB2312"/>
          <w:bCs/>
          <w:w w:val="90"/>
          <w:sz w:val="56"/>
          <w:szCs w:val="84"/>
        </w:rPr>
      </w:pPr>
    </w:p>
    <w:p>
      <w:pPr>
        <w:pStyle w:val="14"/>
        <w:spacing w:after="31"/>
        <w:ind w:firstLine="859"/>
        <w:jc w:val="center"/>
        <w:rPr>
          <w:rFonts w:eastAsia="楷体_GB2312"/>
          <w:b/>
          <w:spacing w:val="30"/>
          <w:w w:val="66"/>
          <w:sz w:val="56"/>
          <w:szCs w:val="72"/>
        </w:rPr>
      </w:pPr>
    </w:p>
    <w:p>
      <w:pPr>
        <w:pStyle w:val="14"/>
        <w:spacing w:after="31"/>
        <w:ind w:firstLine="859"/>
        <w:jc w:val="center"/>
        <w:rPr>
          <w:rFonts w:eastAsia="楷体_GB2312"/>
          <w:b/>
          <w:spacing w:val="30"/>
          <w:w w:val="66"/>
          <w:sz w:val="56"/>
          <w:szCs w:val="72"/>
        </w:rPr>
      </w:pPr>
    </w:p>
    <w:p>
      <w:pPr>
        <w:pStyle w:val="14"/>
        <w:spacing w:after="31"/>
        <w:ind w:firstLine="859"/>
        <w:jc w:val="center"/>
        <w:rPr>
          <w:rFonts w:eastAsia="楷体_GB2312"/>
          <w:b/>
          <w:spacing w:val="30"/>
          <w:w w:val="66"/>
          <w:sz w:val="56"/>
          <w:szCs w:val="72"/>
        </w:rPr>
      </w:pPr>
    </w:p>
    <w:p>
      <w:pPr>
        <w:spacing w:line="480" w:lineRule="auto"/>
        <w:ind w:firstLine="640"/>
        <w:rPr>
          <w:rFonts w:eastAsia="楷体_GB2312"/>
          <w:b/>
          <w:sz w:val="32"/>
          <w:szCs w:val="32"/>
        </w:rPr>
      </w:pPr>
    </w:p>
    <w:p>
      <w:pPr>
        <w:pStyle w:val="188"/>
        <w:ind w:firstLine="640"/>
        <w:rPr>
          <w:rFonts w:eastAsia="楷体_GB2312"/>
          <w:b/>
          <w:sz w:val="32"/>
          <w:szCs w:val="32"/>
        </w:rPr>
      </w:pPr>
    </w:p>
    <w:p>
      <w:pPr>
        <w:pStyle w:val="14"/>
        <w:ind w:firstLine="640"/>
        <w:rPr>
          <w:rFonts w:eastAsia="楷体_GB2312"/>
          <w:b/>
          <w:sz w:val="32"/>
          <w:szCs w:val="32"/>
        </w:rPr>
      </w:pPr>
    </w:p>
    <w:p>
      <w:pPr>
        <w:pStyle w:val="14"/>
        <w:ind w:firstLine="640"/>
        <w:rPr>
          <w:rFonts w:eastAsia="楷体_GB2312"/>
          <w:b/>
          <w:sz w:val="32"/>
          <w:szCs w:val="32"/>
        </w:rPr>
      </w:pPr>
    </w:p>
    <w:p>
      <w:pPr>
        <w:spacing w:line="480" w:lineRule="auto"/>
        <w:ind w:firstLine="640"/>
        <w:rPr>
          <w:rFonts w:eastAsia="楷体_GB2312"/>
          <w:b/>
          <w:sz w:val="32"/>
          <w:szCs w:val="32"/>
        </w:rPr>
      </w:pPr>
    </w:p>
    <w:p>
      <w:pPr>
        <w:spacing w:line="480" w:lineRule="auto"/>
        <w:ind w:firstLine="0" w:firstLineChars="0"/>
        <w:jc w:val="center"/>
        <w:rPr>
          <w:rFonts w:hint="default" w:eastAsia="楷体_GB2312"/>
          <w:b/>
          <w:sz w:val="36"/>
          <w:szCs w:val="36"/>
          <w:lang w:val="en-US" w:eastAsia="zh-CN"/>
        </w:rPr>
      </w:pPr>
      <w:r>
        <w:rPr>
          <w:rFonts w:eastAsia="楷体_GB2312"/>
          <w:b/>
          <w:sz w:val="36"/>
          <w:szCs w:val="36"/>
        </w:rPr>
        <w:t>四川省林业</w:t>
      </w:r>
      <w:r>
        <w:rPr>
          <w:rFonts w:hint="eastAsia" w:eastAsia="楷体_GB2312"/>
          <w:b/>
          <w:sz w:val="36"/>
          <w:szCs w:val="36"/>
          <w:lang w:val="en-US" w:eastAsia="zh-CN"/>
        </w:rPr>
        <w:t>科技开发实业有限公司</w:t>
      </w:r>
    </w:p>
    <w:p>
      <w:pPr>
        <w:spacing w:line="480" w:lineRule="auto"/>
        <w:ind w:firstLine="0" w:firstLineChars="0"/>
        <w:jc w:val="center"/>
        <w:rPr>
          <w:rFonts w:eastAsia="楷体_GB2312"/>
          <w:b/>
          <w:sz w:val="36"/>
          <w:szCs w:val="36"/>
        </w:rPr>
      </w:pPr>
      <w:r>
        <w:rPr>
          <w:rFonts w:eastAsia="楷体_GB2312"/>
          <w:b/>
          <w:sz w:val="36"/>
          <w:szCs w:val="36"/>
        </w:rPr>
        <w:t>二</w:t>
      </w:r>
      <w:r>
        <w:rPr>
          <w:rFonts w:hint="eastAsia" w:eastAsia="楷体_GB2312"/>
          <w:b/>
          <w:sz w:val="36"/>
          <w:szCs w:val="36"/>
          <w:lang w:val="en-US" w:eastAsia="zh-CN"/>
        </w:rPr>
        <w:t>〇</w:t>
      </w:r>
      <w:r>
        <w:rPr>
          <w:rFonts w:eastAsia="楷体_GB2312"/>
          <w:b/>
          <w:sz w:val="36"/>
          <w:szCs w:val="36"/>
        </w:rPr>
        <w:t>二</w:t>
      </w:r>
      <w:r>
        <w:rPr>
          <w:rFonts w:hint="eastAsia" w:eastAsia="楷体_GB2312"/>
          <w:b/>
          <w:sz w:val="36"/>
          <w:szCs w:val="36"/>
          <w:lang w:val="en-US" w:eastAsia="zh-CN"/>
        </w:rPr>
        <w:t>二</w:t>
      </w:r>
      <w:r>
        <w:rPr>
          <w:rFonts w:eastAsia="楷体_GB2312"/>
          <w:b/>
          <w:sz w:val="36"/>
          <w:szCs w:val="36"/>
        </w:rPr>
        <w:t>年</w:t>
      </w:r>
      <w:r>
        <w:rPr>
          <w:rFonts w:hint="eastAsia" w:eastAsia="楷体_GB2312"/>
          <w:b/>
          <w:sz w:val="36"/>
          <w:szCs w:val="36"/>
          <w:lang w:val="en-US" w:eastAsia="zh-CN"/>
        </w:rPr>
        <w:t>四</w:t>
      </w:r>
      <w:r>
        <w:rPr>
          <w:rFonts w:eastAsia="楷体_GB2312"/>
          <w:b/>
          <w:sz w:val="36"/>
          <w:szCs w:val="36"/>
        </w:rPr>
        <w:t>月</w:t>
      </w:r>
    </w:p>
    <w:p>
      <w:pPr>
        <w:ind w:firstLine="806"/>
        <w:rPr>
          <w:rFonts w:eastAsia="楷体_GB2312"/>
          <w:b/>
          <w:spacing w:val="30"/>
          <w:w w:val="66"/>
          <w:sz w:val="52"/>
          <w:szCs w:val="52"/>
        </w:rPr>
      </w:pPr>
    </w:p>
    <w:p>
      <w:pPr>
        <w:pStyle w:val="14"/>
        <w:spacing w:after="31"/>
        <w:ind w:firstLine="753"/>
        <w:jc w:val="center"/>
        <w:rPr>
          <w:rFonts w:eastAsia="楷体_GB2312"/>
          <w:b/>
          <w:spacing w:val="30"/>
          <w:w w:val="66"/>
          <w:sz w:val="48"/>
          <w:szCs w:val="44"/>
        </w:rPr>
      </w:pPr>
    </w:p>
    <w:p>
      <w:pPr>
        <w:pStyle w:val="14"/>
        <w:spacing w:after="31"/>
        <w:ind w:firstLine="0" w:firstLineChars="0"/>
        <w:jc w:val="center"/>
        <w:rPr>
          <w:rFonts w:hint="eastAsia" w:eastAsia="楷体_GB2312"/>
          <w:b/>
          <w:spacing w:val="30"/>
          <w:w w:val="66"/>
          <w:sz w:val="48"/>
          <w:szCs w:val="48"/>
        </w:rPr>
      </w:pPr>
    </w:p>
    <w:p>
      <w:pPr>
        <w:pStyle w:val="14"/>
        <w:spacing w:after="31"/>
        <w:ind w:firstLine="0" w:firstLineChars="0"/>
        <w:jc w:val="center"/>
        <w:rPr>
          <w:rFonts w:hint="eastAsia" w:eastAsia="楷体_GB2312"/>
          <w:b/>
          <w:spacing w:val="30"/>
          <w:w w:val="66"/>
          <w:sz w:val="48"/>
          <w:szCs w:val="48"/>
        </w:rPr>
      </w:pPr>
      <w:r>
        <w:rPr>
          <w:rFonts w:hint="eastAsia" w:eastAsia="楷体_GB2312"/>
          <w:b/>
          <w:spacing w:val="30"/>
          <w:w w:val="66"/>
          <w:sz w:val="48"/>
          <w:szCs w:val="48"/>
        </w:rPr>
        <w:t>阿坝县莲班路（安斗乡至罗云措沟段）美丽乡村路建设对四川阿坝莲宝叶则省级湿地公园</w:t>
      </w:r>
    </w:p>
    <w:p>
      <w:pPr>
        <w:pStyle w:val="14"/>
        <w:spacing w:after="31"/>
        <w:ind w:firstLine="0" w:firstLineChars="0"/>
        <w:jc w:val="center"/>
        <w:rPr>
          <w:rFonts w:hint="eastAsia" w:eastAsia="楷体_GB2312"/>
          <w:b/>
          <w:spacing w:val="30"/>
          <w:w w:val="66"/>
          <w:sz w:val="44"/>
          <w:szCs w:val="40"/>
          <w:lang w:val="en-US" w:eastAsia="zh-CN"/>
        </w:rPr>
      </w:pPr>
      <w:r>
        <w:rPr>
          <w:rFonts w:hint="eastAsia" w:eastAsia="楷体_GB2312"/>
          <w:b/>
          <w:spacing w:val="30"/>
          <w:w w:val="66"/>
          <w:sz w:val="48"/>
          <w:szCs w:val="48"/>
        </w:rPr>
        <w:t>生态影响评价</w:t>
      </w:r>
      <w:r>
        <w:rPr>
          <w:rFonts w:hint="eastAsia" w:eastAsia="楷体_GB2312"/>
          <w:b/>
          <w:spacing w:val="30"/>
          <w:w w:val="66"/>
          <w:sz w:val="48"/>
          <w:szCs w:val="48"/>
          <w:lang w:val="en-US" w:eastAsia="zh-CN"/>
        </w:rPr>
        <w:t>报告</w:t>
      </w:r>
    </w:p>
    <w:p>
      <w:pPr>
        <w:pStyle w:val="14"/>
        <w:spacing w:after="31"/>
        <w:ind w:firstLine="753"/>
        <w:jc w:val="center"/>
        <w:rPr>
          <w:rFonts w:eastAsia="楷体_GB2312"/>
          <w:b/>
          <w:spacing w:val="30"/>
          <w:w w:val="66"/>
          <w:sz w:val="48"/>
          <w:szCs w:val="44"/>
        </w:rPr>
      </w:pPr>
    </w:p>
    <w:p>
      <w:pPr>
        <w:spacing w:line="820" w:lineRule="exact"/>
        <w:ind w:firstLine="792"/>
        <w:jc w:val="center"/>
        <w:rPr>
          <w:rFonts w:eastAsia="楷体_GB2312"/>
          <w:b/>
          <w:w w:val="90"/>
          <w:sz w:val="44"/>
          <w:szCs w:val="44"/>
        </w:rPr>
      </w:pPr>
    </w:p>
    <w:p>
      <w:pPr>
        <w:pStyle w:val="188"/>
      </w:pPr>
    </w:p>
    <w:p>
      <w:pPr>
        <w:spacing w:line="900" w:lineRule="auto"/>
        <w:ind w:firstLine="880"/>
        <w:rPr>
          <w:rFonts w:eastAsia="楷体_GB2312"/>
          <w:b/>
          <w:sz w:val="44"/>
          <w:szCs w:val="44"/>
        </w:rPr>
      </w:pPr>
      <w:r>
        <w:rPr>
          <w:rFonts w:eastAsia="楷体_GB2312"/>
          <w:b/>
          <w:sz w:val="44"/>
          <w:szCs w:val="44"/>
        </w:rPr>
        <w:t>项目编号：</w:t>
      </w:r>
    </w:p>
    <w:p>
      <w:pPr>
        <w:spacing w:line="900" w:lineRule="auto"/>
        <w:ind w:firstLine="880"/>
        <w:rPr>
          <w:rFonts w:hint="default" w:eastAsia="楷体_GB2312"/>
          <w:b/>
          <w:sz w:val="44"/>
          <w:szCs w:val="44"/>
          <w:lang w:val="en-US" w:eastAsia="zh-CN"/>
        </w:rPr>
      </w:pPr>
      <w:r>
        <w:rPr>
          <w:rFonts w:hint="eastAsia" w:eastAsia="楷体_GB2312"/>
          <w:b/>
          <w:sz w:val="44"/>
          <w:szCs w:val="44"/>
          <w:lang w:val="en-US" w:eastAsia="zh-CN"/>
        </w:rPr>
        <w:t>总 经 理</w:t>
      </w:r>
      <w:r>
        <w:rPr>
          <w:rFonts w:eastAsia="楷体_GB2312"/>
          <w:b/>
          <w:sz w:val="44"/>
          <w:szCs w:val="44"/>
        </w:rPr>
        <w:t>：</w:t>
      </w:r>
      <w:r>
        <w:rPr>
          <w:rFonts w:hint="eastAsia" w:eastAsia="楷体_GB2312"/>
          <w:b/>
          <w:sz w:val="44"/>
          <w:szCs w:val="44"/>
        </w:rPr>
        <w:t xml:space="preserve">        </w:t>
      </w:r>
      <w:r>
        <w:rPr>
          <w:rFonts w:eastAsia="楷体_GB2312"/>
          <w:b/>
          <w:sz w:val="44"/>
          <w:szCs w:val="44"/>
        </w:rPr>
        <w:t xml:space="preserve">  </w:t>
      </w:r>
      <w:r>
        <w:rPr>
          <w:rFonts w:hint="eastAsia" w:eastAsia="楷体_GB2312"/>
          <w:sz w:val="44"/>
          <w:szCs w:val="44"/>
          <w:lang w:val="en-US" w:eastAsia="zh-CN"/>
        </w:rPr>
        <w:t>正高级工程师</w:t>
      </w:r>
    </w:p>
    <w:p>
      <w:pPr>
        <w:spacing w:line="900" w:lineRule="auto"/>
        <w:ind w:firstLine="880"/>
        <w:rPr>
          <w:rFonts w:hint="default" w:eastAsia="楷体_GB2312"/>
          <w:b/>
          <w:sz w:val="44"/>
          <w:szCs w:val="44"/>
          <w:lang w:val="en-US" w:eastAsia="zh-CN"/>
        </w:rPr>
      </w:pPr>
      <w:r>
        <w:rPr>
          <w:rFonts w:eastAsia="楷体_GB2312"/>
          <w:b/>
          <w:sz w:val="44"/>
          <w:szCs w:val="44"/>
        </w:rPr>
        <w:t>总工程师：</w:t>
      </w:r>
      <w:r>
        <w:rPr>
          <w:rFonts w:hint="eastAsia" w:eastAsia="楷体_GB2312"/>
          <w:b/>
          <w:sz w:val="44"/>
          <w:szCs w:val="44"/>
        </w:rPr>
        <w:t xml:space="preserve">       </w:t>
      </w:r>
      <w:r>
        <w:rPr>
          <w:rFonts w:eastAsia="楷体_GB2312"/>
          <w:b/>
          <w:sz w:val="44"/>
          <w:szCs w:val="44"/>
        </w:rPr>
        <w:t xml:space="preserve">   </w:t>
      </w:r>
      <w:r>
        <w:rPr>
          <w:rFonts w:hint="eastAsia" w:eastAsia="楷体_GB2312"/>
          <w:sz w:val="44"/>
          <w:szCs w:val="44"/>
          <w:lang w:val="en-US" w:eastAsia="zh-CN"/>
        </w:rPr>
        <w:t>研究员</w:t>
      </w:r>
    </w:p>
    <w:p>
      <w:pPr>
        <w:spacing w:line="720" w:lineRule="auto"/>
        <w:ind w:left="1402" w:leftChars="400" w:hanging="442" w:hangingChars="100"/>
        <w:rPr>
          <w:rFonts w:eastAsia="楷体_GB2312"/>
          <w:b/>
          <w:sz w:val="44"/>
          <w:szCs w:val="44"/>
        </w:rPr>
      </w:pPr>
    </w:p>
    <w:p>
      <w:pPr>
        <w:pStyle w:val="188"/>
      </w:pPr>
    </w:p>
    <w:p>
      <w:pPr>
        <w:pStyle w:val="14"/>
        <w:ind w:firstLine="480"/>
      </w:pPr>
    </w:p>
    <w:p>
      <w:pPr>
        <w:pStyle w:val="14"/>
        <w:ind w:firstLine="480"/>
      </w:pPr>
    </w:p>
    <w:p>
      <w:pPr>
        <w:pStyle w:val="14"/>
        <w:ind w:firstLine="480"/>
      </w:pPr>
    </w:p>
    <w:p>
      <w:pPr>
        <w:tabs>
          <w:tab w:val="left" w:pos="1801"/>
        </w:tabs>
        <w:spacing w:line="500" w:lineRule="exact"/>
        <w:ind w:right="-120" w:rightChars="-50" w:firstLine="565" w:firstLineChars="198"/>
        <w:rPr>
          <w:rFonts w:hint="eastAsia" w:eastAsia="楷体_GB2312"/>
          <w:b/>
          <w:spacing w:val="-8"/>
          <w:sz w:val="30"/>
          <w:szCs w:val="30"/>
          <w:lang w:eastAsia="zh-CN"/>
        </w:rPr>
      </w:pPr>
      <w:r>
        <w:rPr>
          <w:rFonts w:eastAsia="楷体_GB2312"/>
          <w:b/>
          <w:spacing w:val="-8"/>
          <w:sz w:val="30"/>
          <w:szCs w:val="30"/>
        </w:rPr>
        <w:t>编制单位：</w:t>
      </w:r>
      <w:r>
        <w:rPr>
          <w:rFonts w:hint="eastAsia" w:eastAsia="楷体_GB2312"/>
          <w:b/>
          <w:spacing w:val="-8"/>
          <w:sz w:val="30"/>
          <w:szCs w:val="30"/>
          <w:lang w:eastAsia="zh-CN"/>
        </w:rPr>
        <w:t>四川省林业科技开发实业有限公司</w:t>
      </w:r>
    </w:p>
    <w:p>
      <w:pPr>
        <w:tabs>
          <w:tab w:val="left" w:pos="1801"/>
        </w:tabs>
        <w:spacing w:line="500" w:lineRule="exact"/>
        <w:ind w:right="-120" w:rightChars="-50" w:firstLine="565" w:firstLineChars="198"/>
        <w:rPr>
          <w:rFonts w:eastAsia="楷体_GB2312"/>
          <w:b/>
          <w:spacing w:val="-8"/>
          <w:sz w:val="30"/>
          <w:szCs w:val="30"/>
          <w:highlight w:val="none"/>
        </w:rPr>
      </w:pPr>
      <w:r>
        <w:rPr>
          <w:rFonts w:hint="eastAsia" w:eastAsia="楷体_GB2312"/>
          <w:b/>
          <w:spacing w:val="-8"/>
          <w:sz w:val="30"/>
          <w:szCs w:val="30"/>
          <w:highlight w:val="none"/>
        </w:rPr>
        <w:t>设计证书</w:t>
      </w:r>
      <w:r>
        <w:rPr>
          <w:rFonts w:eastAsia="楷体_GB2312"/>
          <w:b/>
          <w:spacing w:val="-8"/>
          <w:sz w:val="30"/>
          <w:szCs w:val="30"/>
          <w:highlight w:val="none"/>
        </w:rPr>
        <w:t>：</w:t>
      </w:r>
      <w:r>
        <w:rPr>
          <w:rFonts w:hint="eastAsia" w:eastAsia="楷体_GB2312"/>
          <w:b/>
          <w:spacing w:val="-8"/>
          <w:sz w:val="30"/>
          <w:szCs w:val="30"/>
          <w:highlight w:val="none"/>
        </w:rPr>
        <w:t>林业调查规划设计资质证书</w:t>
      </w:r>
    </w:p>
    <w:p>
      <w:pPr>
        <w:ind w:firstLine="565" w:firstLineChars="198"/>
        <w:rPr>
          <w:sz w:val="28"/>
          <w:szCs w:val="28"/>
          <w:highlight w:val="none"/>
        </w:rPr>
      </w:pPr>
      <w:r>
        <w:rPr>
          <w:rFonts w:eastAsia="楷体_GB2312"/>
          <w:b/>
          <w:spacing w:val="-8"/>
          <w:sz w:val="30"/>
          <w:szCs w:val="30"/>
          <w:highlight w:val="none"/>
        </w:rPr>
        <w:t>证书编号：</w:t>
      </w:r>
      <w:r>
        <w:rPr>
          <w:rFonts w:hint="eastAsia" w:eastAsia="楷体_GB2312"/>
          <w:b/>
          <w:spacing w:val="-8"/>
          <w:sz w:val="30"/>
          <w:szCs w:val="30"/>
          <w:highlight w:val="none"/>
        </w:rPr>
        <w:t>乙23-008</w:t>
      </w:r>
    </w:p>
    <w:p>
      <w:pPr>
        <w:tabs>
          <w:tab w:val="left" w:pos="1801"/>
        </w:tabs>
        <w:spacing w:line="500" w:lineRule="exact"/>
        <w:ind w:right="-120" w:rightChars="-50" w:firstLine="565" w:firstLineChars="198"/>
        <w:rPr>
          <w:rFonts w:hint="eastAsia" w:eastAsia="楷体_GB2312"/>
          <w:b/>
          <w:spacing w:val="-8"/>
          <w:sz w:val="30"/>
          <w:szCs w:val="30"/>
          <w:highlight w:val="none"/>
        </w:rPr>
      </w:pPr>
      <w:r>
        <w:rPr>
          <w:rFonts w:hint="eastAsia" w:eastAsia="楷体_GB2312"/>
          <w:b/>
          <w:spacing w:val="-8"/>
          <w:sz w:val="30"/>
          <w:szCs w:val="30"/>
          <w:highlight w:val="none"/>
        </w:rPr>
        <w:t>发证机关：中国林业工程建设协会</w:t>
      </w:r>
    </w:p>
    <w:p>
      <w:r>
        <w:rPr>
          <w:rFonts w:eastAsia="楷体_GB2312"/>
          <w:b/>
          <w:spacing w:val="-8"/>
          <w:sz w:val="30"/>
          <w:szCs w:val="30"/>
        </w:rPr>
        <w:br w:type="page"/>
      </w:r>
    </w:p>
    <w:p>
      <w:pPr>
        <w:ind w:firstLine="643"/>
        <w:rPr>
          <w:rFonts w:eastAsia="黑体"/>
          <w:b/>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851" w:footer="992" w:gutter="0"/>
          <w:pgBorders>
            <w:top w:val="none" w:sz="0" w:space="0"/>
            <w:left w:val="none" w:sz="0" w:space="0"/>
            <w:bottom w:val="none" w:sz="0" w:space="0"/>
            <w:right w:val="none" w:sz="0" w:space="0"/>
          </w:pgBorders>
          <w:pgNumType w:fmt="lowerRoman" w:start="0"/>
          <w:cols w:space="720" w:num="1"/>
          <w:titlePg/>
          <w:docGrid w:type="lines" w:linePitch="326" w:charSpace="0"/>
        </w:sectPr>
      </w:pPr>
    </w:p>
    <w:p>
      <w:pPr>
        <w:ind w:firstLine="480"/>
        <w:rPr>
          <w:vanish/>
        </w:rPr>
      </w:pPr>
      <w:bookmarkStart w:id="1" w:name="_Hlk485377511"/>
    </w:p>
    <w:tbl>
      <w:tblPr>
        <w:tblStyle w:val="42"/>
        <w:tblW w:w="8354" w:type="dxa"/>
        <w:jc w:val="center"/>
        <w:tblLayout w:type="fixed"/>
        <w:tblCellMar>
          <w:top w:w="0" w:type="dxa"/>
          <w:left w:w="108" w:type="dxa"/>
          <w:bottom w:w="0" w:type="dxa"/>
          <w:right w:w="108" w:type="dxa"/>
        </w:tblCellMar>
      </w:tblPr>
      <w:tblGrid>
        <w:gridCol w:w="2061"/>
        <w:gridCol w:w="2717"/>
        <w:gridCol w:w="3576"/>
      </w:tblGrid>
      <w:tr>
        <w:tblPrEx>
          <w:tblCellMar>
            <w:top w:w="0" w:type="dxa"/>
            <w:left w:w="108" w:type="dxa"/>
            <w:bottom w:w="0" w:type="dxa"/>
            <w:right w:w="108" w:type="dxa"/>
          </w:tblCellMar>
        </w:tblPrEx>
        <w:trPr>
          <w:trHeight w:val="567" w:hRule="atLeast"/>
          <w:jc w:val="center"/>
        </w:trPr>
        <w:tc>
          <w:tcPr>
            <w:tcW w:w="2061" w:type="dxa"/>
            <w:vAlign w:val="center"/>
          </w:tcPr>
          <w:p>
            <w:pPr>
              <w:ind w:left="-120" w:leftChars="-50" w:right="-120" w:rightChars="-50" w:firstLine="140" w:firstLineChars="50"/>
              <w:jc w:val="distribute"/>
              <w:rPr>
                <w:rFonts w:eastAsia="黑体"/>
                <w:b/>
                <w:kern w:val="0"/>
                <w:sz w:val="28"/>
                <w:szCs w:val="28"/>
              </w:rPr>
            </w:pPr>
            <w:r>
              <w:rPr>
                <w:rFonts w:eastAsia="仿宋_GB2312"/>
                <w:b/>
                <w:kern w:val="0"/>
                <w:sz w:val="28"/>
                <w:szCs w:val="28"/>
              </w:rPr>
              <w:t>项目名称：</w:t>
            </w:r>
          </w:p>
        </w:tc>
        <w:tc>
          <w:tcPr>
            <w:tcW w:w="6293" w:type="dxa"/>
            <w:gridSpan w:val="2"/>
            <w:vAlign w:val="center"/>
          </w:tcPr>
          <w:p>
            <w:pPr>
              <w:ind w:left="0" w:leftChars="0" w:right="-120" w:rightChars="-50" w:firstLine="0" w:firstLineChars="0"/>
              <w:rPr>
                <w:rFonts w:eastAsia="仿宋_GB2312"/>
                <w:bCs/>
                <w:kern w:val="0"/>
                <w:sz w:val="32"/>
                <w:szCs w:val="32"/>
              </w:rPr>
            </w:pPr>
            <w:r>
              <w:rPr>
                <w:rFonts w:hint="eastAsia" w:eastAsia="仿宋_GB2312"/>
                <w:kern w:val="0"/>
                <w:sz w:val="32"/>
                <w:szCs w:val="32"/>
              </w:rPr>
              <w:t>阿坝县莲班路（安斗乡至罗云措沟段）美丽乡村路</w:t>
            </w:r>
            <w:r>
              <w:rPr>
                <w:rFonts w:hint="eastAsia" w:eastAsia="仿宋_GB2312"/>
                <w:kern w:val="0"/>
                <w:sz w:val="32"/>
                <w:szCs w:val="32"/>
                <w:lang w:val="en-US" w:eastAsia="zh-CN"/>
              </w:rPr>
              <w:t>建设</w:t>
            </w:r>
            <w:r>
              <w:rPr>
                <w:rFonts w:hint="eastAsia" w:eastAsia="仿宋_GB2312"/>
                <w:kern w:val="0"/>
                <w:sz w:val="32"/>
                <w:szCs w:val="32"/>
              </w:rPr>
              <w:t>对四川阿坝莲宝叶则省级湿地公园生态影响评价报告</w:t>
            </w:r>
          </w:p>
        </w:tc>
      </w:tr>
      <w:tr>
        <w:tblPrEx>
          <w:tblCellMar>
            <w:top w:w="0" w:type="dxa"/>
            <w:left w:w="108" w:type="dxa"/>
            <w:bottom w:w="0" w:type="dxa"/>
            <w:right w:w="108" w:type="dxa"/>
          </w:tblCellMar>
        </w:tblPrEx>
        <w:trPr>
          <w:trHeight w:val="794" w:hRule="exact"/>
          <w:jc w:val="center"/>
        </w:trPr>
        <w:tc>
          <w:tcPr>
            <w:tcW w:w="2061" w:type="dxa"/>
            <w:vAlign w:val="center"/>
          </w:tcPr>
          <w:p>
            <w:pPr>
              <w:ind w:left="-120" w:leftChars="-50" w:right="-120" w:rightChars="-50" w:firstLine="140" w:firstLineChars="50"/>
              <w:jc w:val="distribute"/>
              <w:rPr>
                <w:rFonts w:ascii="Times New Roman" w:hAnsi="Times New Roman" w:eastAsia="黑体" w:cstheme="minorBidi"/>
                <w:b/>
                <w:kern w:val="0"/>
                <w:sz w:val="28"/>
                <w:szCs w:val="28"/>
                <w:lang w:val="en-US" w:eastAsia="zh-CN" w:bidi="ar-SA"/>
              </w:rPr>
            </w:pPr>
            <w:r>
              <w:rPr>
                <w:rFonts w:eastAsia="仿宋_GB2312"/>
                <w:b/>
                <w:kern w:val="0"/>
                <w:sz w:val="28"/>
                <w:szCs w:val="28"/>
              </w:rPr>
              <w:t>委托单位：</w:t>
            </w:r>
          </w:p>
        </w:tc>
        <w:tc>
          <w:tcPr>
            <w:tcW w:w="6293" w:type="dxa"/>
            <w:gridSpan w:val="2"/>
            <w:vAlign w:val="center"/>
          </w:tcPr>
          <w:p>
            <w:pPr>
              <w:ind w:left="-120" w:leftChars="-50" w:right="-120" w:rightChars="-50" w:firstLine="160" w:firstLineChars="50"/>
              <w:rPr>
                <w:rFonts w:hint="eastAsia" w:ascii="Times New Roman" w:hAnsi="Times New Roman" w:eastAsia="仿宋_GB2312" w:cstheme="minorBidi"/>
                <w:bCs/>
                <w:kern w:val="0"/>
                <w:sz w:val="32"/>
                <w:szCs w:val="32"/>
                <w:lang w:val="en-US" w:eastAsia="zh-CN" w:bidi="ar-SA"/>
              </w:rPr>
            </w:pPr>
            <w:r>
              <w:rPr>
                <w:rFonts w:hint="eastAsia" w:eastAsia="仿宋_GB2312"/>
                <w:bCs/>
                <w:kern w:val="0"/>
                <w:sz w:val="32"/>
                <w:szCs w:val="32"/>
                <w:highlight w:val="none"/>
              </w:rPr>
              <w:t>阿坝县交通运输局</w:t>
            </w:r>
          </w:p>
        </w:tc>
      </w:tr>
      <w:tr>
        <w:tblPrEx>
          <w:tblCellMar>
            <w:top w:w="0" w:type="dxa"/>
            <w:left w:w="108" w:type="dxa"/>
            <w:bottom w:w="0" w:type="dxa"/>
            <w:right w:w="108" w:type="dxa"/>
          </w:tblCellMar>
        </w:tblPrEx>
        <w:trPr>
          <w:trHeight w:val="794" w:hRule="exact"/>
          <w:jc w:val="center"/>
        </w:trPr>
        <w:tc>
          <w:tcPr>
            <w:tcW w:w="2061" w:type="dxa"/>
            <w:vAlign w:val="center"/>
          </w:tcPr>
          <w:p>
            <w:pPr>
              <w:spacing w:line="400" w:lineRule="exact"/>
              <w:ind w:left="-120" w:leftChars="-50" w:right="-120" w:rightChars="-50" w:firstLine="140" w:firstLineChars="50"/>
              <w:jc w:val="distribute"/>
              <w:rPr>
                <w:rFonts w:eastAsia="黑体"/>
                <w:b/>
                <w:kern w:val="0"/>
                <w:sz w:val="28"/>
                <w:szCs w:val="28"/>
              </w:rPr>
            </w:pPr>
            <w:r>
              <w:rPr>
                <w:rFonts w:eastAsia="仿宋_GB2312"/>
                <w:b/>
                <w:kern w:val="0"/>
                <w:sz w:val="28"/>
                <w:szCs w:val="28"/>
              </w:rPr>
              <w:t>编制单位：</w:t>
            </w:r>
          </w:p>
        </w:tc>
        <w:tc>
          <w:tcPr>
            <w:tcW w:w="6293" w:type="dxa"/>
            <w:gridSpan w:val="2"/>
            <w:vAlign w:val="center"/>
          </w:tcPr>
          <w:p>
            <w:pPr>
              <w:adjustRightInd w:val="0"/>
              <w:snapToGrid w:val="0"/>
              <w:spacing w:line="400" w:lineRule="exact"/>
              <w:ind w:firstLine="0" w:firstLineChars="0"/>
              <w:rPr>
                <w:rFonts w:eastAsia="仿宋_GB2312"/>
                <w:kern w:val="0"/>
                <w:sz w:val="32"/>
                <w:szCs w:val="32"/>
              </w:rPr>
            </w:pPr>
            <w:r>
              <w:rPr>
                <w:rFonts w:hint="eastAsia" w:eastAsia="仿宋_GB2312"/>
                <w:kern w:val="0"/>
                <w:sz w:val="32"/>
                <w:szCs w:val="32"/>
              </w:rPr>
              <w:t>四川省林业科技开发实业有限公司</w:t>
            </w:r>
          </w:p>
        </w:tc>
      </w:tr>
      <w:tr>
        <w:tblPrEx>
          <w:tblCellMar>
            <w:top w:w="0" w:type="dxa"/>
            <w:left w:w="108" w:type="dxa"/>
            <w:bottom w:w="0" w:type="dxa"/>
            <w:right w:w="108" w:type="dxa"/>
          </w:tblCellMar>
        </w:tblPrEx>
        <w:trPr>
          <w:trHeight w:val="562" w:hRule="exact"/>
          <w:jc w:val="center"/>
        </w:trPr>
        <w:tc>
          <w:tcPr>
            <w:tcW w:w="2061" w:type="dxa"/>
            <w:vAlign w:val="center"/>
          </w:tcPr>
          <w:p>
            <w:pPr>
              <w:spacing w:line="400" w:lineRule="exact"/>
              <w:ind w:left="-120" w:leftChars="-50" w:right="-120" w:rightChars="-50" w:firstLine="140" w:firstLineChars="50"/>
              <w:jc w:val="distribute"/>
              <w:rPr>
                <w:rFonts w:ascii="Times New Roman" w:hAnsi="Times New Roman" w:eastAsia="仿宋_GB2312"/>
                <w:b/>
                <w:kern w:val="0"/>
                <w:sz w:val="28"/>
                <w:szCs w:val="28"/>
              </w:rPr>
            </w:pPr>
            <w:r>
              <w:rPr>
                <w:rFonts w:hint="eastAsia" w:ascii="Times New Roman" w:hAnsi="Times New Roman" w:eastAsia="仿宋_GB2312"/>
                <w:b/>
                <w:kern w:val="0"/>
                <w:sz w:val="28"/>
                <w:szCs w:val="28"/>
                <w:lang w:val="en-US" w:eastAsia="zh-CN"/>
              </w:rPr>
              <w:t>项目负责人</w:t>
            </w:r>
            <w:r>
              <w:rPr>
                <w:rFonts w:eastAsia="仿宋_GB2312"/>
                <w:b/>
                <w:kern w:val="0"/>
                <w:sz w:val="28"/>
                <w:szCs w:val="28"/>
              </w:rPr>
              <w:t>：</w:t>
            </w:r>
          </w:p>
        </w:tc>
        <w:tc>
          <w:tcPr>
            <w:tcW w:w="2717" w:type="dxa"/>
            <w:vAlign w:val="center"/>
          </w:tcPr>
          <w:p>
            <w:pPr>
              <w:widowControl/>
              <w:adjustRightInd w:val="0"/>
              <w:snapToGrid w:val="0"/>
              <w:spacing w:line="400" w:lineRule="exact"/>
              <w:ind w:firstLine="0" w:firstLineChars="0"/>
              <w:jc w:val="center"/>
              <w:rPr>
                <w:rFonts w:hint="eastAsia" w:eastAsia="仿宋_GB2312"/>
                <w:kern w:val="0"/>
                <w:sz w:val="32"/>
                <w:szCs w:val="32"/>
                <w:lang w:val="en-US" w:eastAsia="zh-CN"/>
              </w:rPr>
            </w:pPr>
            <w:r>
              <w:rPr>
                <w:rFonts w:hint="eastAsia" w:eastAsia="仿宋_GB2312"/>
                <w:kern w:val="0"/>
                <w:sz w:val="32"/>
                <w:szCs w:val="32"/>
                <w:lang w:val="en-US" w:eastAsia="zh-CN"/>
              </w:rPr>
              <w:t>杨 靖 宇</w:t>
            </w:r>
          </w:p>
        </w:tc>
        <w:tc>
          <w:tcPr>
            <w:tcW w:w="3576" w:type="dxa"/>
            <w:vAlign w:val="center"/>
          </w:tcPr>
          <w:p>
            <w:pPr>
              <w:widowControl/>
              <w:adjustRightInd w:val="0"/>
              <w:snapToGrid w:val="0"/>
              <w:spacing w:line="400" w:lineRule="exact"/>
              <w:ind w:firstLine="0" w:firstLineChars="0"/>
              <w:rPr>
                <w:rFonts w:hint="eastAsia" w:eastAsia="仿宋_GB2312"/>
                <w:kern w:val="0"/>
                <w:sz w:val="32"/>
                <w:szCs w:val="32"/>
                <w:lang w:eastAsia="zh-CN"/>
              </w:rPr>
            </w:pPr>
            <w:r>
              <w:rPr>
                <w:rFonts w:hint="eastAsia" w:eastAsia="仿宋_GB2312"/>
                <w:kern w:val="0"/>
                <w:sz w:val="32"/>
                <w:szCs w:val="32"/>
                <w:lang w:eastAsia="zh-CN"/>
              </w:rPr>
              <w:t>副</w:t>
            </w:r>
            <w:r>
              <w:rPr>
                <w:rFonts w:hint="eastAsia" w:eastAsia="仿宋_GB2312"/>
                <w:kern w:val="0"/>
                <w:sz w:val="22"/>
                <w:szCs w:val="22"/>
                <w:lang w:val="en-US" w:eastAsia="zh-CN"/>
              </w:rPr>
              <w:t xml:space="preserve"> </w:t>
            </w:r>
            <w:r>
              <w:rPr>
                <w:rFonts w:hint="eastAsia" w:eastAsia="仿宋_GB2312"/>
                <w:kern w:val="0"/>
                <w:sz w:val="32"/>
                <w:szCs w:val="32"/>
                <w:lang w:eastAsia="zh-CN"/>
              </w:rPr>
              <w:t>研</w:t>
            </w:r>
            <w:r>
              <w:rPr>
                <w:rFonts w:hint="eastAsia" w:eastAsia="仿宋_GB2312"/>
                <w:kern w:val="0"/>
                <w:sz w:val="22"/>
                <w:szCs w:val="22"/>
                <w:lang w:val="en-US" w:eastAsia="zh-CN"/>
              </w:rPr>
              <w:t xml:space="preserve"> </w:t>
            </w:r>
            <w:r>
              <w:rPr>
                <w:rFonts w:hint="eastAsia" w:eastAsia="仿宋_GB2312"/>
                <w:kern w:val="0"/>
                <w:sz w:val="32"/>
                <w:szCs w:val="32"/>
                <w:lang w:eastAsia="zh-CN"/>
              </w:rPr>
              <w:t>究</w:t>
            </w:r>
            <w:r>
              <w:rPr>
                <w:rFonts w:hint="eastAsia" w:eastAsia="仿宋_GB2312"/>
                <w:kern w:val="0"/>
                <w:sz w:val="22"/>
                <w:szCs w:val="22"/>
                <w:lang w:val="en-US" w:eastAsia="zh-CN"/>
              </w:rPr>
              <w:t xml:space="preserve"> </w:t>
            </w:r>
            <w:r>
              <w:rPr>
                <w:rFonts w:hint="eastAsia" w:eastAsia="仿宋_GB2312"/>
                <w:kern w:val="0"/>
                <w:sz w:val="32"/>
                <w:szCs w:val="32"/>
                <w:lang w:eastAsia="zh-CN"/>
              </w:rPr>
              <w:t>员</w:t>
            </w:r>
          </w:p>
        </w:tc>
      </w:tr>
      <w:tr>
        <w:tblPrEx>
          <w:tblCellMar>
            <w:top w:w="0" w:type="dxa"/>
            <w:left w:w="108" w:type="dxa"/>
            <w:bottom w:w="0" w:type="dxa"/>
            <w:right w:w="108" w:type="dxa"/>
          </w:tblCellMar>
        </w:tblPrEx>
        <w:trPr>
          <w:trHeight w:val="494" w:hRule="exact"/>
          <w:jc w:val="center"/>
        </w:trPr>
        <w:tc>
          <w:tcPr>
            <w:tcW w:w="2061" w:type="dxa"/>
            <w:vAlign w:val="center"/>
          </w:tcPr>
          <w:p>
            <w:pPr>
              <w:spacing w:line="400" w:lineRule="exact"/>
              <w:ind w:left="-120" w:leftChars="-50" w:right="-120" w:rightChars="-50" w:firstLine="140" w:firstLineChars="50"/>
              <w:jc w:val="distribute"/>
              <w:rPr>
                <w:rFonts w:ascii="Times New Roman" w:hAnsi="Times New Roman" w:eastAsia="仿宋_GB2312"/>
                <w:b/>
                <w:kern w:val="0"/>
                <w:sz w:val="28"/>
                <w:szCs w:val="28"/>
              </w:rPr>
            </w:pPr>
            <w:r>
              <w:rPr>
                <w:rFonts w:hint="eastAsia" w:ascii="Times New Roman" w:hAnsi="Times New Roman" w:eastAsia="仿宋_GB2312"/>
                <w:b/>
                <w:kern w:val="0"/>
                <w:sz w:val="28"/>
                <w:szCs w:val="28"/>
                <w:lang w:val="en-US" w:eastAsia="zh-CN"/>
              </w:rPr>
              <w:t>技术负责人</w:t>
            </w:r>
            <w:r>
              <w:rPr>
                <w:rFonts w:eastAsia="仿宋_GB2312"/>
                <w:b/>
                <w:kern w:val="0"/>
                <w:sz w:val="28"/>
                <w:szCs w:val="28"/>
              </w:rPr>
              <w:t>：</w:t>
            </w:r>
          </w:p>
        </w:tc>
        <w:tc>
          <w:tcPr>
            <w:tcW w:w="2717" w:type="dxa"/>
            <w:vAlign w:val="bottom"/>
          </w:tcPr>
          <w:p>
            <w:pPr>
              <w:widowControl/>
              <w:adjustRightInd w:val="0"/>
              <w:snapToGrid w:val="0"/>
              <w:spacing w:line="400" w:lineRule="exact"/>
              <w:ind w:firstLine="0" w:firstLineChars="0"/>
              <w:jc w:val="center"/>
              <w:rPr>
                <w:rFonts w:hint="eastAsia" w:eastAsia="仿宋_GB2312"/>
                <w:b w:val="0"/>
                <w:kern w:val="0"/>
                <w:sz w:val="32"/>
                <w:szCs w:val="32"/>
                <w:lang w:val="en-US" w:eastAsia="zh-CN"/>
              </w:rPr>
            </w:pPr>
            <w:r>
              <w:rPr>
                <w:rFonts w:hint="eastAsia" w:eastAsia="仿宋_GB2312"/>
                <w:b w:val="0"/>
                <w:kern w:val="0"/>
                <w:sz w:val="32"/>
                <w:szCs w:val="32"/>
                <w:lang w:val="en-US" w:eastAsia="zh-CN"/>
              </w:rPr>
              <w:t>陈 德 朝</w:t>
            </w:r>
          </w:p>
        </w:tc>
        <w:tc>
          <w:tcPr>
            <w:tcW w:w="3576" w:type="dxa"/>
            <w:vAlign w:val="bottom"/>
          </w:tcPr>
          <w:p>
            <w:pPr>
              <w:widowControl/>
              <w:adjustRightInd w:val="0"/>
              <w:snapToGrid w:val="0"/>
              <w:spacing w:line="400" w:lineRule="exact"/>
              <w:ind w:firstLine="0" w:firstLineChars="0"/>
              <w:rPr>
                <w:rFonts w:hint="eastAsia" w:eastAsia="仿宋_GB2312"/>
                <w:kern w:val="0"/>
                <w:sz w:val="32"/>
                <w:szCs w:val="32"/>
              </w:rPr>
            </w:pPr>
            <w:r>
              <w:rPr>
                <w:rFonts w:hint="eastAsia" w:eastAsia="仿宋_GB2312"/>
                <w:kern w:val="0"/>
                <w:sz w:val="32"/>
                <w:szCs w:val="32"/>
                <w:lang w:val="en-US" w:eastAsia="zh-CN"/>
              </w:rPr>
              <w:t>高级</w:t>
            </w:r>
            <w:r>
              <w:rPr>
                <w:rFonts w:hint="eastAsia" w:ascii="Times New Roman" w:hAnsi="Times New Roman" w:eastAsia="仿宋_GB2312"/>
                <w:kern w:val="0"/>
                <w:sz w:val="32"/>
                <w:szCs w:val="32"/>
              </w:rPr>
              <w:t>工程师</w:t>
            </w:r>
          </w:p>
        </w:tc>
      </w:tr>
      <w:tr>
        <w:tblPrEx>
          <w:tblCellMar>
            <w:top w:w="0" w:type="dxa"/>
            <w:left w:w="108" w:type="dxa"/>
            <w:bottom w:w="0" w:type="dxa"/>
            <w:right w:w="108" w:type="dxa"/>
          </w:tblCellMar>
        </w:tblPrEx>
        <w:trPr>
          <w:trHeight w:val="521" w:hRule="exact"/>
          <w:jc w:val="center"/>
        </w:trPr>
        <w:tc>
          <w:tcPr>
            <w:tcW w:w="2061" w:type="dxa"/>
            <w:vAlign w:val="center"/>
          </w:tcPr>
          <w:p>
            <w:pPr>
              <w:spacing w:line="400" w:lineRule="exact"/>
              <w:ind w:left="-120" w:leftChars="-50" w:right="-120" w:rightChars="-50" w:firstLine="140" w:firstLineChars="50"/>
              <w:jc w:val="distribute"/>
              <w:rPr>
                <w:rFonts w:ascii="Times New Roman" w:hAnsi="Times New Roman" w:eastAsia="仿宋_GB2312"/>
                <w:b/>
                <w:kern w:val="0"/>
                <w:sz w:val="28"/>
                <w:szCs w:val="28"/>
              </w:rPr>
            </w:pPr>
            <w:r>
              <w:rPr>
                <w:rFonts w:hint="eastAsia" w:ascii="Times New Roman" w:hAnsi="Times New Roman" w:eastAsia="仿宋_GB2312"/>
                <w:b/>
                <w:kern w:val="0"/>
                <w:sz w:val="28"/>
                <w:szCs w:val="28"/>
              </w:rPr>
              <w:t>编写人员：</w:t>
            </w:r>
          </w:p>
        </w:tc>
        <w:tc>
          <w:tcPr>
            <w:tcW w:w="2717" w:type="dxa"/>
            <w:vAlign w:val="bottom"/>
          </w:tcPr>
          <w:p>
            <w:pPr>
              <w:widowControl/>
              <w:adjustRightInd w:val="0"/>
              <w:snapToGrid w:val="0"/>
              <w:spacing w:line="400" w:lineRule="exact"/>
              <w:ind w:firstLine="0" w:firstLineChars="0"/>
              <w:jc w:val="center"/>
              <w:rPr>
                <w:rFonts w:hint="eastAsia" w:eastAsia="仿宋_GB2312"/>
                <w:kern w:val="0"/>
                <w:sz w:val="32"/>
                <w:szCs w:val="32"/>
                <w:lang w:val="en-US" w:eastAsia="zh-CN"/>
              </w:rPr>
            </w:pPr>
            <w:r>
              <w:rPr>
                <w:rFonts w:hint="eastAsia" w:eastAsia="仿宋_GB2312"/>
                <w:kern w:val="0"/>
                <w:sz w:val="32"/>
                <w:szCs w:val="32"/>
                <w:lang w:val="en-US" w:eastAsia="zh-CN"/>
              </w:rPr>
              <w:t>于 姣 妲</w:t>
            </w:r>
          </w:p>
        </w:tc>
        <w:tc>
          <w:tcPr>
            <w:tcW w:w="3576" w:type="dxa"/>
            <w:vAlign w:val="bottom"/>
          </w:tcPr>
          <w:p>
            <w:pPr>
              <w:widowControl/>
              <w:adjustRightInd w:val="0"/>
              <w:snapToGrid w:val="0"/>
              <w:spacing w:line="400" w:lineRule="exact"/>
              <w:ind w:firstLine="0" w:firstLineChars="0"/>
              <w:rPr>
                <w:rFonts w:hint="eastAsia" w:eastAsia="仿宋_GB2312"/>
                <w:kern w:val="0"/>
                <w:sz w:val="32"/>
                <w:szCs w:val="32"/>
              </w:rPr>
            </w:pPr>
            <w:r>
              <w:rPr>
                <w:rFonts w:hint="eastAsia" w:ascii="Times New Roman" w:hAnsi="Times New Roman" w:eastAsia="仿宋_GB2312"/>
                <w:kern w:val="0"/>
                <w:sz w:val="32"/>
                <w:szCs w:val="32"/>
              </w:rPr>
              <w:t>工  程  师</w:t>
            </w:r>
          </w:p>
        </w:tc>
      </w:tr>
      <w:tr>
        <w:tblPrEx>
          <w:tblCellMar>
            <w:top w:w="0" w:type="dxa"/>
            <w:left w:w="108" w:type="dxa"/>
            <w:bottom w:w="0" w:type="dxa"/>
            <w:right w:w="108" w:type="dxa"/>
          </w:tblCellMar>
        </w:tblPrEx>
        <w:trPr>
          <w:trHeight w:val="453" w:hRule="exact"/>
          <w:jc w:val="center"/>
        </w:trPr>
        <w:tc>
          <w:tcPr>
            <w:tcW w:w="2061" w:type="dxa"/>
            <w:vAlign w:val="center"/>
          </w:tcPr>
          <w:p>
            <w:pPr>
              <w:spacing w:line="400" w:lineRule="exact"/>
              <w:ind w:left="-120" w:leftChars="-50" w:right="-120" w:rightChars="-50" w:firstLine="140" w:firstLineChars="50"/>
              <w:jc w:val="both"/>
              <w:rPr>
                <w:rFonts w:ascii="Times New Roman" w:hAnsi="Times New Roman" w:eastAsia="仿宋_GB2312"/>
                <w:b/>
                <w:kern w:val="0"/>
                <w:sz w:val="28"/>
                <w:szCs w:val="28"/>
              </w:rPr>
            </w:pPr>
          </w:p>
        </w:tc>
        <w:tc>
          <w:tcPr>
            <w:tcW w:w="2717" w:type="dxa"/>
            <w:vAlign w:val="center"/>
          </w:tcPr>
          <w:p>
            <w:pPr>
              <w:widowControl/>
              <w:adjustRightInd w:val="0"/>
              <w:snapToGrid w:val="0"/>
              <w:spacing w:line="400" w:lineRule="exact"/>
              <w:ind w:firstLine="0" w:firstLineChars="0"/>
              <w:jc w:val="center"/>
              <w:rPr>
                <w:rFonts w:hint="eastAsia" w:ascii="Times New Roman" w:hAnsi="Times New Roman" w:eastAsia="仿宋_GB2312" w:cstheme="minorBidi"/>
                <w:kern w:val="0"/>
                <w:sz w:val="32"/>
                <w:szCs w:val="32"/>
                <w:lang w:val="en-US" w:eastAsia="zh-CN" w:bidi="ar-SA"/>
              </w:rPr>
            </w:pPr>
            <w:r>
              <w:rPr>
                <w:rFonts w:hint="eastAsia" w:ascii="Times New Roman" w:hAnsi="Times New Roman" w:eastAsia="仿宋_GB2312" w:cstheme="minorBidi"/>
                <w:kern w:val="0"/>
                <w:sz w:val="32"/>
                <w:szCs w:val="32"/>
                <w:lang w:val="en-US" w:eastAsia="zh-CN"/>
              </w:rPr>
              <w:t>贺    丽</w:t>
            </w:r>
          </w:p>
        </w:tc>
        <w:tc>
          <w:tcPr>
            <w:tcW w:w="3576" w:type="dxa"/>
            <w:vAlign w:val="center"/>
          </w:tcPr>
          <w:p>
            <w:pPr>
              <w:widowControl/>
              <w:adjustRightInd w:val="0"/>
              <w:snapToGrid w:val="0"/>
              <w:spacing w:line="400" w:lineRule="exact"/>
              <w:ind w:firstLine="0" w:firstLineChars="0"/>
              <w:jc w:val="left"/>
              <w:rPr>
                <w:rFonts w:hint="eastAsia" w:ascii="Times New Roman" w:hAnsi="Times New Roman" w:eastAsia="仿宋_GB2312" w:cstheme="minorBidi"/>
                <w:kern w:val="0"/>
                <w:sz w:val="32"/>
                <w:szCs w:val="32"/>
                <w:lang w:val="zh-CN" w:eastAsia="zh-CN" w:bidi="ar-SA"/>
              </w:rPr>
            </w:pPr>
            <w:r>
              <w:rPr>
                <w:rFonts w:hint="eastAsia" w:ascii="Times New Roman" w:hAnsi="Times New Roman" w:eastAsia="仿宋_GB2312" w:cstheme="minorBidi"/>
                <w:kern w:val="0"/>
                <w:sz w:val="32"/>
                <w:szCs w:val="32"/>
                <w:lang w:val="en-US"/>
              </w:rPr>
              <w:t>工</w:t>
            </w:r>
            <w:r>
              <w:rPr>
                <w:rFonts w:hint="eastAsia" w:ascii="Times New Roman" w:hAnsi="Times New Roman" w:eastAsia="仿宋_GB2312" w:cstheme="minorBidi"/>
                <w:kern w:val="0"/>
                <w:sz w:val="32"/>
                <w:szCs w:val="32"/>
                <w:lang w:val="en-US" w:eastAsia="zh-CN"/>
              </w:rPr>
              <w:t xml:space="preserve">  </w:t>
            </w:r>
            <w:r>
              <w:rPr>
                <w:rFonts w:hint="eastAsia" w:ascii="Times New Roman" w:hAnsi="Times New Roman" w:eastAsia="仿宋_GB2312" w:cstheme="minorBidi"/>
                <w:kern w:val="0"/>
                <w:sz w:val="32"/>
                <w:szCs w:val="32"/>
                <w:lang w:val="en-US"/>
              </w:rPr>
              <w:t>程</w:t>
            </w:r>
            <w:r>
              <w:rPr>
                <w:rFonts w:hint="eastAsia" w:ascii="Times New Roman" w:hAnsi="Times New Roman" w:eastAsia="仿宋_GB2312" w:cstheme="minorBidi"/>
                <w:kern w:val="0"/>
                <w:sz w:val="32"/>
                <w:szCs w:val="32"/>
                <w:lang w:val="en-US" w:eastAsia="zh-CN"/>
              </w:rPr>
              <w:t xml:space="preserve">  </w:t>
            </w:r>
            <w:r>
              <w:rPr>
                <w:rFonts w:hint="eastAsia" w:ascii="Times New Roman" w:hAnsi="Times New Roman" w:eastAsia="仿宋_GB2312" w:cstheme="minorBidi"/>
                <w:kern w:val="0"/>
                <w:sz w:val="32"/>
                <w:szCs w:val="32"/>
                <w:lang w:val="en-US"/>
              </w:rPr>
              <w:t>师</w:t>
            </w:r>
          </w:p>
        </w:tc>
      </w:tr>
      <w:tr>
        <w:tblPrEx>
          <w:tblCellMar>
            <w:top w:w="0" w:type="dxa"/>
            <w:left w:w="108" w:type="dxa"/>
            <w:bottom w:w="0" w:type="dxa"/>
            <w:right w:w="108" w:type="dxa"/>
          </w:tblCellMar>
        </w:tblPrEx>
        <w:trPr>
          <w:trHeight w:val="535" w:hRule="exact"/>
          <w:jc w:val="center"/>
        </w:trPr>
        <w:tc>
          <w:tcPr>
            <w:tcW w:w="2061" w:type="dxa"/>
            <w:vAlign w:val="center"/>
          </w:tcPr>
          <w:p>
            <w:pPr>
              <w:spacing w:line="400" w:lineRule="exact"/>
              <w:ind w:left="-120" w:leftChars="-50" w:right="-120" w:rightChars="-50" w:firstLine="140" w:firstLineChars="50"/>
              <w:jc w:val="both"/>
              <w:rPr>
                <w:rFonts w:ascii="Times New Roman" w:hAnsi="Times New Roman" w:eastAsia="仿宋_GB2312"/>
                <w:b/>
                <w:kern w:val="0"/>
                <w:sz w:val="28"/>
                <w:szCs w:val="28"/>
              </w:rPr>
            </w:pPr>
          </w:p>
        </w:tc>
        <w:tc>
          <w:tcPr>
            <w:tcW w:w="2717" w:type="dxa"/>
            <w:vAlign w:val="center"/>
          </w:tcPr>
          <w:p>
            <w:pPr>
              <w:widowControl/>
              <w:adjustRightInd w:val="0"/>
              <w:snapToGrid w:val="0"/>
              <w:spacing w:line="400" w:lineRule="exact"/>
              <w:ind w:firstLine="0" w:firstLineChars="0"/>
              <w:jc w:val="center"/>
              <w:rPr>
                <w:rFonts w:hint="eastAsia" w:ascii="Times New Roman" w:hAnsi="Times New Roman" w:eastAsia="仿宋_GB2312" w:cstheme="minorBidi"/>
                <w:kern w:val="0"/>
                <w:sz w:val="32"/>
                <w:szCs w:val="32"/>
                <w:lang w:val="en-US" w:eastAsia="zh-CN" w:bidi="ar-SA"/>
              </w:rPr>
            </w:pPr>
            <w:r>
              <w:rPr>
                <w:rFonts w:hint="eastAsia" w:ascii="Times New Roman" w:hAnsi="Times New Roman" w:eastAsia="仿宋_GB2312" w:cstheme="minorBidi"/>
                <w:kern w:val="0"/>
                <w:sz w:val="32"/>
                <w:szCs w:val="32"/>
                <w:lang w:val="en-US" w:eastAsia="zh-CN"/>
              </w:rPr>
              <w:t>邹 玉 和</w:t>
            </w:r>
          </w:p>
        </w:tc>
        <w:tc>
          <w:tcPr>
            <w:tcW w:w="3576" w:type="dxa"/>
            <w:vAlign w:val="center"/>
          </w:tcPr>
          <w:p>
            <w:pPr>
              <w:widowControl/>
              <w:adjustRightInd w:val="0"/>
              <w:snapToGrid w:val="0"/>
              <w:spacing w:line="400" w:lineRule="exact"/>
              <w:ind w:firstLine="0" w:firstLineChars="0"/>
              <w:jc w:val="left"/>
              <w:rPr>
                <w:rFonts w:hint="eastAsia" w:ascii="Times New Roman" w:hAnsi="Times New Roman" w:eastAsia="仿宋_GB2312" w:cstheme="minorBidi"/>
                <w:kern w:val="0"/>
                <w:sz w:val="32"/>
                <w:szCs w:val="32"/>
                <w:lang w:val="zh-CN" w:eastAsia="zh-CN" w:bidi="ar-SA"/>
              </w:rPr>
            </w:pPr>
            <w:r>
              <w:rPr>
                <w:rFonts w:hint="eastAsia" w:ascii="Times New Roman" w:hAnsi="Times New Roman" w:eastAsia="仿宋_GB2312" w:cstheme="minorBidi"/>
                <w:kern w:val="0"/>
                <w:sz w:val="32"/>
                <w:szCs w:val="32"/>
                <w:lang w:val="en-US"/>
              </w:rPr>
              <w:t>工</w:t>
            </w:r>
            <w:r>
              <w:rPr>
                <w:rFonts w:hint="eastAsia" w:ascii="Times New Roman" w:hAnsi="Times New Roman" w:eastAsia="仿宋_GB2312" w:cstheme="minorBidi"/>
                <w:kern w:val="0"/>
                <w:sz w:val="32"/>
                <w:szCs w:val="32"/>
                <w:lang w:val="en-US" w:eastAsia="zh-CN"/>
              </w:rPr>
              <w:t xml:space="preserve">  </w:t>
            </w:r>
            <w:r>
              <w:rPr>
                <w:rFonts w:hint="eastAsia" w:ascii="Times New Roman" w:hAnsi="Times New Roman" w:eastAsia="仿宋_GB2312" w:cstheme="minorBidi"/>
                <w:kern w:val="0"/>
                <w:sz w:val="32"/>
                <w:szCs w:val="32"/>
                <w:lang w:val="en-US"/>
              </w:rPr>
              <w:t>程</w:t>
            </w:r>
            <w:r>
              <w:rPr>
                <w:rFonts w:hint="eastAsia" w:ascii="Times New Roman" w:hAnsi="Times New Roman" w:eastAsia="仿宋_GB2312" w:cstheme="minorBidi"/>
                <w:kern w:val="0"/>
                <w:sz w:val="32"/>
                <w:szCs w:val="32"/>
                <w:lang w:val="en-US" w:eastAsia="zh-CN"/>
              </w:rPr>
              <w:t xml:space="preserve">  </w:t>
            </w:r>
            <w:r>
              <w:rPr>
                <w:rFonts w:hint="eastAsia" w:ascii="Times New Roman" w:hAnsi="Times New Roman" w:eastAsia="仿宋_GB2312" w:cstheme="minorBidi"/>
                <w:kern w:val="0"/>
                <w:sz w:val="32"/>
                <w:szCs w:val="32"/>
                <w:lang w:val="en-US"/>
              </w:rPr>
              <w:t>师</w:t>
            </w:r>
          </w:p>
        </w:tc>
      </w:tr>
      <w:tr>
        <w:tblPrEx>
          <w:tblCellMar>
            <w:top w:w="0" w:type="dxa"/>
            <w:left w:w="108" w:type="dxa"/>
            <w:bottom w:w="0" w:type="dxa"/>
            <w:right w:w="108" w:type="dxa"/>
          </w:tblCellMar>
        </w:tblPrEx>
        <w:trPr>
          <w:trHeight w:val="534" w:hRule="exact"/>
          <w:jc w:val="center"/>
        </w:trPr>
        <w:tc>
          <w:tcPr>
            <w:tcW w:w="2061" w:type="dxa"/>
            <w:vAlign w:val="center"/>
          </w:tcPr>
          <w:p>
            <w:pPr>
              <w:spacing w:line="400" w:lineRule="exact"/>
              <w:ind w:left="-120" w:leftChars="-50" w:right="-120" w:rightChars="-50" w:firstLine="140" w:firstLineChars="50"/>
              <w:jc w:val="both"/>
              <w:rPr>
                <w:rFonts w:ascii="Times New Roman" w:hAnsi="Times New Roman" w:eastAsia="仿宋_GB2312"/>
                <w:b/>
                <w:kern w:val="0"/>
                <w:sz w:val="28"/>
                <w:szCs w:val="28"/>
              </w:rPr>
            </w:pPr>
          </w:p>
        </w:tc>
        <w:tc>
          <w:tcPr>
            <w:tcW w:w="2717" w:type="dxa"/>
            <w:vAlign w:val="center"/>
          </w:tcPr>
          <w:p>
            <w:pPr>
              <w:widowControl/>
              <w:adjustRightInd w:val="0"/>
              <w:snapToGrid w:val="0"/>
              <w:spacing w:line="400" w:lineRule="exact"/>
              <w:ind w:firstLine="0" w:firstLineChars="0"/>
              <w:jc w:val="center"/>
              <w:rPr>
                <w:rFonts w:hint="eastAsia" w:ascii="Times New Roman" w:hAnsi="Times New Roman" w:eastAsia="仿宋_GB2312" w:cstheme="minorBidi"/>
                <w:kern w:val="0"/>
                <w:sz w:val="32"/>
                <w:szCs w:val="32"/>
                <w:lang w:val="en-US" w:eastAsia="zh-CN" w:bidi="ar-SA"/>
              </w:rPr>
            </w:pPr>
            <w:r>
              <w:rPr>
                <w:rFonts w:hint="eastAsia" w:ascii="Times New Roman" w:hAnsi="Times New Roman" w:eastAsia="仿宋_GB2312" w:cstheme="minorBidi"/>
                <w:kern w:val="0"/>
                <w:sz w:val="32"/>
                <w:szCs w:val="32"/>
                <w:lang w:val="en-US" w:eastAsia="zh-CN"/>
              </w:rPr>
              <w:t>曹 小 军</w:t>
            </w:r>
          </w:p>
        </w:tc>
        <w:tc>
          <w:tcPr>
            <w:tcW w:w="3576" w:type="dxa"/>
            <w:vAlign w:val="center"/>
          </w:tcPr>
          <w:p>
            <w:pPr>
              <w:widowControl/>
              <w:adjustRightInd w:val="0"/>
              <w:snapToGrid w:val="0"/>
              <w:spacing w:line="400" w:lineRule="exact"/>
              <w:ind w:firstLine="0" w:firstLineChars="0"/>
              <w:jc w:val="left"/>
              <w:rPr>
                <w:rFonts w:hint="eastAsia" w:ascii="Times New Roman" w:hAnsi="Times New Roman" w:eastAsia="仿宋_GB2312" w:cstheme="minorBidi"/>
                <w:kern w:val="0"/>
                <w:sz w:val="32"/>
                <w:szCs w:val="32"/>
                <w:lang w:val="zh-CN" w:eastAsia="zh-CN" w:bidi="ar-SA"/>
              </w:rPr>
            </w:pPr>
            <w:r>
              <w:rPr>
                <w:rFonts w:hint="eastAsia" w:ascii="Times New Roman" w:hAnsi="Times New Roman" w:eastAsia="仿宋_GB2312" w:cstheme="minorBidi"/>
                <w:kern w:val="0"/>
                <w:sz w:val="32"/>
                <w:szCs w:val="32"/>
                <w:lang w:val="zh-CN" w:eastAsia="zh-CN"/>
              </w:rPr>
              <w:t>高级工程师</w:t>
            </w:r>
          </w:p>
        </w:tc>
      </w:tr>
      <w:tr>
        <w:tblPrEx>
          <w:tblCellMar>
            <w:top w:w="0" w:type="dxa"/>
            <w:left w:w="108" w:type="dxa"/>
            <w:bottom w:w="0" w:type="dxa"/>
            <w:right w:w="108" w:type="dxa"/>
          </w:tblCellMar>
        </w:tblPrEx>
        <w:trPr>
          <w:trHeight w:val="535" w:hRule="exact"/>
          <w:jc w:val="center"/>
        </w:trPr>
        <w:tc>
          <w:tcPr>
            <w:tcW w:w="2061" w:type="dxa"/>
            <w:vAlign w:val="center"/>
          </w:tcPr>
          <w:p>
            <w:pPr>
              <w:spacing w:line="400" w:lineRule="exact"/>
              <w:ind w:left="-120" w:leftChars="-50" w:right="-120" w:rightChars="-50" w:firstLine="140" w:firstLineChars="50"/>
              <w:jc w:val="both"/>
              <w:rPr>
                <w:rFonts w:ascii="Times New Roman" w:hAnsi="Times New Roman" w:eastAsia="仿宋_GB2312"/>
                <w:b/>
                <w:kern w:val="0"/>
                <w:sz w:val="28"/>
                <w:szCs w:val="28"/>
              </w:rPr>
            </w:pPr>
          </w:p>
        </w:tc>
        <w:tc>
          <w:tcPr>
            <w:tcW w:w="2717" w:type="dxa"/>
            <w:vAlign w:val="center"/>
          </w:tcPr>
          <w:p>
            <w:pPr>
              <w:widowControl/>
              <w:adjustRightInd w:val="0"/>
              <w:snapToGrid w:val="0"/>
              <w:spacing w:line="400" w:lineRule="exact"/>
              <w:ind w:firstLine="0" w:firstLineChars="0"/>
              <w:jc w:val="center"/>
              <w:rPr>
                <w:rFonts w:hint="eastAsia" w:ascii="Times New Roman" w:hAnsi="Times New Roman" w:eastAsia="仿宋_GB2312" w:cstheme="minorBidi"/>
                <w:kern w:val="0"/>
                <w:sz w:val="32"/>
                <w:szCs w:val="32"/>
                <w:lang w:val="en-US" w:eastAsia="zh-CN" w:bidi="ar-SA"/>
              </w:rPr>
            </w:pPr>
            <w:r>
              <w:rPr>
                <w:rFonts w:hint="eastAsia" w:ascii="Times New Roman" w:hAnsi="Times New Roman" w:eastAsia="仿宋_GB2312" w:cstheme="minorBidi"/>
                <w:kern w:val="0"/>
                <w:sz w:val="32"/>
                <w:szCs w:val="32"/>
                <w:lang w:val="en-US" w:eastAsia="zh-CN"/>
              </w:rPr>
              <w:t>吴 科 君</w:t>
            </w:r>
          </w:p>
        </w:tc>
        <w:tc>
          <w:tcPr>
            <w:tcW w:w="3576" w:type="dxa"/>
            <w:vAlign w:val="center"/>
          </w:tcPr>
          <w:p>
            <w:pPr>
              <w:widowControl/>
              <w:adjustRightInd w:val="0"/>
              <w:snapToGrid w:val="0"/>
              <w:spacing w:line="400" w:lineRule="exact"/>
              <w:ind w:firstLine="0" w:firstLineChars="0"/>
              <w:jc w:val="left"/>
              <w:rPr>
                <w:rFonts w:hint="eastAsia" w:ascii="Times New Roman" w:hAnsi="Times New Roman" w:eastAsia="仿宋_GB2312" w:cstheme="minorBidi"/>
                <w:kern w:val="0"/>
                <w:sz w:val="32"/>
                <w:szCs w:val="32"/>
                <w:lang w:val="zh-CN" w:eastAsia="zh-CN" w:bidi="ar-SA"/>
              </w:rPr>
            </w:pPr>
            <w:r>
              <w:rPr>
                <w:rFonts w:hint="eastAsia" w:ascii="Times New Roman" w:hAnsi="Times New Roman" w:eastAsia="仿宋_GB2312" w:cstheme="minorBidi"/>
                <w:kern w:val="0"/>
                <w:sz w:val="32"/>
                <w:szCs w:val="32"/>
                <w:lang w:val="en-US"/>
              </w:rPr>
              <w:t>工</w:t>
            </w:r>
            <w:r>
              <w:rPr>
                <w:rFonts w:hint="eastAsia" w:ascii="Times New Roman" w:hAnsi="Times New Roman" w:eastAsia="仿宋_GB2312" w:cstheme="minorBidi"/>
                <w:kern w:val="0"/>
                <w:sz w:val="32"/>
                <w:szCs w:val="32"/>
                <w:lang w:val="en-US" w:eastAsia="zh-CN"/>
              </w:rPr>
              <w:t xml:space="preserve">  </w:t>
            </w:r>
            <w:r>
              <w:rPr>
                <w:rFonts w:hint="eastAsia" w:ascii="Times New Roman" w:hAnsi="Times New Roman" w:eastAsia="仿宋_GB2312" w:cstheme="minorBidi"/>
                <w:kern w:val="0"/>
                <w:sz w:val="32"/>
                <w:szCs w:val="32"/>
                <w:lang w:val="en-US"/>
              </w:rPr>
              <w:t>程</w:t>
            </w:r>
            <w:r>
              <w:rPr>
                <w:rFonts w:hint="eastAsia" w:ascii="Times New Roman" w:hAnsi="Times New Roman" w:eastAsia="仿宋_GB2312" w:cstheme="minorBidi"/>
                <w:kern w:val="0"/>
                <w:sz w:val="32"/>
                <w:szCs w:val="32"/>
                <w:lang w:val="en-US" w:eastAsia="zh-CN"/>
              </w:rPr>
              <w:t xml:space="preserve">  </w:t>
            </w:r>
            <w:r>
              <w:rPr>
                <w:rFonts w:hint="eastAsia" w:ascii="Times New Roman" w:hAnsi="Times New Roman" w:eastAsia="仿宋_GB2312" w:cstheme="minorBidi"/>
                <w:kern w:val="0"/>
                <w:sz w:val="32"/>
                <w:szCs w:val="32"/>
                <w:lang w:val="en-US"/>
              </w:rPr>
              <w:t>师</w:t>
            </w:r>
          </w:p>
        </w:tc>
      </w:tr>
      <w:tr>
        <w:tblPrEx>
          <w:tblCellMar>
            <w:top w:w="0" w:type="dxa"/>
            <w:left w:w="108" w:type="dxa"/>
            <w:bottom w:w="0" w:type="dxa"/>
            <w:right w:w="108" w:type="dxa"/>
          </w:tblCellMar>
        </w:tblPrEx>
        <w:trPr>
          <w:trHeight w:val="508" w:hRule="exact"/>
          <w:jc w:val="center"/>
        </w:trPr>
        <w:tc>
          <w:tcPr>
            <w:tcW w:w="2061" w:type="dxa"/>
            <w:vAlign w:val="center"/>
          </w:tcPr>
          <w:p>
            <w:pPr>
              <w:spacing w:line="400" w:lineRule="exact"/>
              <w:ind w:left="-120" w:leftChars="-50" w:right="-120" w:rightChars="-50" w:firstLine="140" w:firstLineChars="50"/>
              <w:jc w:val="both"/>
              <w:rPr>
                <w:rFonts w:ascii="Times New Roman" w:hAnsi="Times New Roman" w:eastAsia="仿宋_GB2312"/>
                <w:b/>
                <w:kern w:val="0"/>
                <w:sz w:val="28"/>
                <w:szCs w:val="28"/>
              </w:rPr>
            </w:pPr>
          </w:p>
        </w:tc>
        <w:tc>
          <w:tcPr>
            <w:tcW w:w="2717" w:type="dxa"/>
            <w:vAlign w:val="center"/>
          </w:tcPr>
          <w:p>
            <w:pPr>
              <w:widowControl/>
              <w:adjustRightInd w:val="0"/>
              <w:snapToGrid w:val="0"/>
              <w:spacing w:line="400" w:lineRule="exact"/>
              <w:ind w:firstLine="0" w:firstLineChars="0"/>
              <w:jc w:val="center"/>
              <w:rPr>
                <w:rFonts w:hint="eastAsia" w:ascii="Times New Roman" w:hAnsi="Times New Roman" w:eastAsia="仿宋_GB2312" w:cstheme="minorBidi"/>
                <w:kern w:val="0"/>
                <w:sz w:val="32"/>
                <w:szCs w:val="32"/>
                <w:lang w:val="en-US" w:eastAsia="zh-CN" w:bidi="ar-SA"/>
              </w:rPr>
            </w:pPr>
            <w:r>
              <w:rPr>
                <w:rFonts w:hint="eastAsia" w:ascii="Times New Roman" w:hAnsi="Times New Roman" w:eastAsia="仿宋_GB2312" w:cstheme="minorBidi"/>
                <w:kern w:val="0"/>
                <w:sz w:val="32"/>
                <w:szCs w:val="32"/>
                <w:lang w:val="en-US" w:eastAsia="zh-CN"/>
              </w:rPr>
              <w:t>文 智 猷</w:t>
            </w:r>
          </w:p>
        </w:tc>
        <w:tc>
          <w:tcPr>
            <w:tcW w:w="3576" w:type="dxa"/>
            <w:vAlign w:val="center"/>
          </w:tcPr>
          <w:p>
            <w:pPr>
              <w:widowControl/>
              <w:adjustRightInd w:val="0"/>
              <w:snapToGrid w:val="0"/>
              <w:spacing w:line="400" w:lineRule="exact"/>
              <w:ind w:firstLine="0" w:firstLineChars="0"/>
              <w:jc w:val="left"/>
              <w:rPr>
                <w:rFonts w:hint="eastAsia" w:ascii="Times New Roman" w:hAnsi="Times New Roman" w:eastAsia="仿宋_GB2312" w:cstheme="minorBidi"/>
                <w:kern w:val="0"/>
                <w:sz w:val="32"/>
                <w:szCs w:val="32"/>
                <w:lang w:val="zh-CN" w:eastAsia="zh-CN" w:bidi="ar-SA"/>
              </w:rPr>
            </w:pPr>
            <w:r>
              <w:rPr>
                <w:rFonts w:hint="eastAsia" w:ascii="Times New Roman" w:hAnsi="Times New Roman" w:eastAsia="仿宋_GB2312" w:cstheme="minorBidi"/>
                <w:kern w:val="0"/>
                <w:sz w:val="32"/>
                <w:szCs w:val="32"/>
                <w:lang w:val="zh-CN" w:eastAsia="zh-CN"/>
              </w:rPr>
              <w:t>高级工程师</w:t>
            </w:r>
          </w:p>
        </w:tc>
      </w:tr>
      <w:tr>
        <w:tblPrEx>
          <w:tblCellMar>
            <w:top w:w="0" w:type="dxa"/>
            <w:left w:w="108" w:type="dxa"/>
            <w:bottom w:w="0" w:type="dxa"/>
            <w:right w:w="108" w:type="dxa"/>
          </w:tblCellMar>
        </w:tblPrEx>
        <w:trPr>
          <w:trHeight w:val="562" w:hRule="exact"/>
          <w:jc w:val="center"/>
        </w:trPr>
        <w:tc>
          <w:tcPr>
            <w:tcW w:w="2061" w:type="dxa"/>
            <w:vAlign w:val="center"/>
          </w:tcPr>
          <w:p>
            <w:pPr>
              <w:spacing w:line="400" w:lineRule="exact"/>
              <w:ind w:left="-120" w:leftChars="-50" w:right="-120" w:rightChars="-50" w:firstLine="140" w:firstLineChars="50"/>
              <w:jc w:val="both"/>
              <w:rPr>
                <w:rFonts w:ascii="Times New Roman" w:hAnsi="Times New Roman" w:eastAsia="仿宋_GB2312"/>
                <w:b/>
                <w:kern w:val="0"/>
                <w:sz w:val="28"/>
                <w:szCs w:val="28"/>
              </w:rPr>
            </w:pPr>
          </w:p>
        </w:tc>
        <w:tc>
          <w:tcPr>
            <w:tcW w:w="2717" w:type="dxa"/>
            <w:vAlign w:val="center"/>
          </w:tcPr>
          <w:p>
            <w:pPr>
              <w:widowControl/>
              <w:adjustRightInd w:val="0"/>
              <w:snapToGrid w:val="0"/>
              <w:spacing w:line="400" w:lineRule="exact"/>
              <w:ind w:firstLine="0" w:firstLineChars="0"/>
              <w:jc w:val="center"/>
              <w:rPr>
                <w:rFonts w:hint="eastAsia" w:ascii="Times New Roman" w:hAnsi="Times New Roman" w:eastAsia="仿宋_GB2312" w:cstheme="minorBidi"/>
                <w:kern w:val="0"/>
                <w:sz w:val="32"/>
                <w:szCs w:val="32"/>
                <w:lang w:val="en-US" w:eastAsia="zh-CN" w:bidi="ar-SA"/>
              </w:rPr>
            </w:pPr>
            <w:r>
              <w:rPr>
                <w:rFonts w:hint="eastAsia" w:ascii="Times New Roman" w:hAnsi="Times New Roman" w:eastAsia="仿宋_GB2312" w:cstheme="minorBidi"/>
                <w:kern w:val="0"/>
                <w:sz w:val="32"/>
                <w:szCs w:val="32"/>
                <w:lang w:val="en-US" w:eastAsia="zh-CN"/>
              </w:rPr>
              <w:t>吴 世 磊</w:t>
            </w:r>
          </w:p>
        </w:tc>
        <w:tc>
          <w:tcPr>
            <w:tcW w:w="3576" w:type="dxa"/>
            <w:vAlign w:val="center"/>
          </w:tcPr>
          <w:p>
            <w:pPr>
              <w:widowControl/>
              <w:adjustRightInd w:val="0"/>
              <w:snapToGrid w:val="0"/>
              <w:spacing w:line="400" w:lineRule="exact"/>
              <w:ind w:firstLine="0" w:firstLineChars="0"/>
              <w:jc w:val="left"/>
              <w:rPr>
                <w:rFonts w:hint="eastAsia" w:ascii="Times New Roman" w:hAnsi="Times New Roman" w:eastAsia="仿宋_GB2312" w:cstheme="minorBidi"/>
                <w:kern w:val="0"/>
                <w:sz w:val="32"/>
                <w:szCs w:val="32"/>
                <w:lang w:val="zh-CN" w:eastAsia="zh-CN" w:bidi="ar-SA"/>
              </w:rPr>
            </w:pPr>
            <w:r>
              <w:rPr>
                <w:rFonts w:hint="eastAsia" w:ascii="Times New Roman" w:hAnsi="Times New Roman" w:eastAsia="仿宋_GB2312" w:cstheme="minorBidi"/>
                <w:kern w:val="0"/>
                <w:sz w:val="32"/>
                <w:szCs w:val="32"/>
                <w:lang w:val="zh-CN" w:eastAsia="zh-CN"/>
              </w:rPr>
              <w:t>高级工程师</w:t>
            </w:r>
          </w:p>
        </w:tc>
      </w:tr>
      <w:tr>
        <w:tblPrEx>
          <w:tblCellMar>
            <w:top w:w="0" w:type="dxa"/>
            <w:left w:w="108" w:type="dxa"/>
            <w:bottom w:w="0" w:type="dxa"/>
            <w:right w:w="108" w:type="dxa"/>
          </w:tblCellMar>
        </w:tblPrEx>
        <w:trPr>
          <w:trHeight w:val="590" w:hRule="exact"/>
          <w:jc w:val="center"/>
        </w:trPr>
        <w:tc>
          <w:tcPr>
            <w:tcW w:w="2061" w:type="dxa"/>
            <w:vAlign w:val="center"/>
          </w:tcPr>
          <w:p>
            <w:pPr>
              <w:spacing w:line="400" w:lineRule="exact"/>
              <w:ind w:left="-120" w:leftChars="-50" w:right="-120" w:rightChars="-50" w:firstLine="140" w:firstLineChars="50"/>
              <w:jc w:val="both"/>
              <w:rPr>
                <w:rFonts w:ascii="Times New Roman" w:hAnsi="Times New Roman" w:eastAsia="仿宋_GB2312"/>
                <w:b/>
                <w:kern w:val="0"/>
                <w:sz w:val="28"/>
                <w:szCs w:val="28"/>
              </w:rPr>
            </w:pPr>
          </w:p>
        </w:tc>
        <w:tc>
          <w:tcPr>
            <w:tcW w:w="2717" w:type="dxa"/>
            <w:vAlign w:val="center"/>
          </w:tcPr>
          <w:p>
            <w:pPr>
              <w:widowControl/>
              <w:adjustRightInd w:val="0"/>
              <w:snapToGrid w:val="0"/>
              <w:spacing w:line="400" w:lineRule="exact"/>
              <w:ind w:firstLine="0" w:firstLineChars="0"/>
              <w:jc w:val="center"/>
              <w:rPr>
                <w:rFonts w:hint="eastAsia" w:ascii="Times New Roman" w:hAnsi="Times New Roman" w:eastAsia="仿宋_GB2312" w:cstheme="minorBidi"/>
                <w:kern w:val="0"/>
                <w:sz w:val="32"/>
                <w:szCs w:val="32"/>
                <w:lang w:val="en-US" w:eastAsia="zh-CN" w:bidi="ar-SA"/>
              </w:rPr>
            </w:pPr>
            <w:r>
              <w:rPr>
                <w:rFonts w:hint="eastAsia" w:ascii="Times New Roman" w:hAnsi="Times New Roman" w:eastAsia="仿宋_GB2312" w:cstheme="minorBidi"/>
                <w:kern w:val="0"/>
                <w:sz w:val="32"/>
                <w:szCs w:val="32"/>
                <w:lang w:val="en-US"/>
              </w:rPr>
              <w:t>李</w:t>
            </w:r>
            <w:r>
              <w:rPr>
                <w:rFonts w:hint="eastAsia" w:ascii="Times New Roman" w:hAnsi="Times New Roman" w:eastAsia="仿宋_GB2312" w:cstheme="minorBidi"/>
                <w:kern w:val="0"/>
                <w:sz w:val="32"/>
                <w:szCs w:val="32"/>
                <w:lang w:val="en-US" w:eastAsia="zh-CN"/>
              </w:rPr>
              <w:t xml:space="preserve"> </w:t>
            </w:r>
            <w:r>
              <w:rPr>
                <w:rFonts w:hint="eastAsia" w:ascii="Times New Roman" w:hAnsi="Times New Roman" w:eastAsia="仿宋_GB2312" w:cstheme="minorBidi"/>
                <w:kern w:val="0"/>
                <w:sz w:val="32"/>
                <w:szCs w:val="32"/>
                <w:lang w:val="en-US"/>
              </w:rPr>
              <w:t>红</w:t>
            </w:r>
            <w:r>
              <w:rPr>
                <w:rFonts w:hint="eastAsia" w:ascii="Times New Roman" w:hAnsi="Times New Roman" w:eastAsia="仿宋_GB2312" w:cstheme="minorBidi"/>
                <w:kern w:val="0"/>
                <w:sz w:val="32"/>
                <w:szCs w:val="32"/>
                <w:lang w:val="en-US" w:eastAsia="zh-CN"/>
              </w:rPr>
              <w:t xml:space="preserve"> </w:t>
            </w:r>
            <w:r>
              <w:rPr>
                <w:rFonts w:hint="eastAsia" w:ascii="Times New Roman" w:hAnsi="Times New Roman" w:eastAsia="仿宋_GB2312" w:cstheme="minorBidi"/>
                <w:kern w:val="0"/>
                <w:sz w:val="32"/>
                <w:szCs w:val="32"/>
                <w:lang w:val="en-US"/>
              </w:rPr>
              <w:t>霖</w:t>
            </w:r>
          </w:p>
        </w:tc>
        <w:tc>
          <w:tcPr>
            <w:tcW w:w="3576" w:type="dxa"/>
            <w:vAlign w:val="center"/>
          </w:tcPr>
          <w:p>
            <w:pPr>
              <w:widowControl/>
              <w:adjustRightInd w:val="0"/>
              <w:snapToGrid w:val="0"/>
              <w:spacing w:line="400" w:lineRule="exact"/>
              <w:ind w:firstLine="0" w:firstLineChars="0"/>
              <w:jc w:val="left"/>
              <w:rPr>
                <w:rFonts w:hint="eastAsia" w:ascii="Times New Roman" w:hAnsi="Times New Roman" w:eastAsia="仿宋_GB2312" w:cstheme="minorBidi"/>
                <w:kern w:val="0"/>
                <w:sz w:val="32"/>
                <w:szCs w:val="32"/>
                <w:lang w:val="zh-CN" w:eastAsia="zh-CN" w:bidi="ar-SA"/>
              </w:rPr>
            </w:pPr>
            <w:r>
              <w:rPr>
                <w:rFonts w:hint="eastAsia" w:ascii="Times New Roman" w:hAnsi="Times New Roman" w:eastAsia="仿宋_GB2312" w:cstheme="minorBidi"/>
                <w:kern w:val="0"/>
                <w:sz w:val="32"/>
                <w:szCs w:val="32"/>
                <w:lang w:val="en-US"/>
              </w:rPr>
              <w:t>工</w:t>
            </w:r>
            <w:r>
              <w:rPr>
                <w:rFonts w:hint="eastAsia" w:ascii="Times New Roman" w:hAnsi="Times New Roman" w:eastAsia="仿宋_GB2312" w:cstheme="minorBidi"/>
                <w:kern w:val="0"/>
                <w:sz w:val="32"/>
                <w:szCs w:val="32"/>
                <w:lang w:val="en-US" w:eastAsia="zh-CN"/>
              </w:rPr>
              <w:t xml:space="preserve">  </w:t>
            </w:r>
            <w:r>
              <w:rPr>
                <w:rFonts w:hint="eastAsia" w:ascii="Times New Roman" w:hAnsi="Times New Roman" w:eastAsia="仿宋_GB2312" w:cstheme="minorBidi"/>
                <w:kern w:val="0"/>
                <w:sz w:val="32"/>
                <w:szCs w:val="32"/>
                <w:lang w:val="en-US"/>
              </w:rPr>
              <w:t>程</w:t>
            </w:r>
            <w:r>
              <w:rPr>
                <w:rFonts w:hint="eastAsia" w:ascii="Times New Roman" w:hAnsi="Times New Roman" w:eastAsia="仿宋_GB2312" w:cstheme="minorBidi"/>
                <w:kern w:val="0"/>
                <w:sz w:val="32"/>
                <w:szCs w:val="32"/>
                <w:lang w:val="en-US" w:eastAsia="zh-CN"/>
              </w:rPr>
              <w:t xml:space="preserve">  </w:t>
            </w:r>
            <w:r>
              <w:rPr>
                <w:rFonts w:hint="eastAsia" w:ascii="Times New Roman" w:hAnsi="Times New Roman" w:eastAsia="仿宋_GB2312" w:cstheme="minorBidi"/>
                <w:kern w:val="0"/>
                <w:sz w:val="32"/>
                <w:szCs w:val="32"/>
                <w:lang w:val="en-US"/>
              </w:rPr>
              <w:t>师</w:t>
            </w:r>
          </w:p>
        </w:tc>
      </w:tr>
      <w:tr>
        <w:tblPrEx>
          <w:tblCellMar>
            <w:top w:w="0" w:type="dxa"/>
            <w:left w:w="108" w:type="dxa"/>
            <w:bottom w:w="0" w:type="dxa"/>
            <w:right w:w="108" w:type="dxa"/>
          </w:tblCellMar>
        </w:tblPrEx>
        <w:trPr>
          <w:trHeight w:val="494" w:hRule="exact"/>
          <w:jc w:val="center"/>
        </w:trPr>
        <w:tc>
          <w:tcPr>
            <w:tcW w:w="2061" w:type="dxa"/>
            <w:vAlign w:val="center"/>
          </w:tcPr>
          <w:p>
            <w:pPr>
              <w:spacing w:line="400" w:lineRule="exact"/>
              <w:ind w:left="-120" w:leftChars="-50" w:right="-120" w:rightChars="-50" w:firstLine="140" w:firstLineChars="50"/>
              <w:jc w:val="both"/>
              <w:rPr>
                <w:rFonts w:ascii="Times New Roman" w:hAnsi="Times New Roman" w:eastAsia="仿宋_GB2312"/>
                <w:b/>
                <w:kern w:val="0"/>
                <w:sz w:val="28"/>
                <w:szCs w:val="28"/>
              </w:rPr>
            </w:pPr>
          </w:p>
        </w:tc>
        <w:tc>
          <w:tcPr>
            <w:tcW w:w="2717" w:type="dxa"/>
            <w:vAlign w:val="center"/>
          </w:tcPr>
          <w:p>
            <w:pPr>
              <w:widowControl/>
              <w:adjustRightInd w:val="0"/>
              <w:snapToGrid w:val="0"/>
              <w:spacing w:line="400" w:lineRule="exact"/>
              <w:ind w:firstLine="0" w:firstLineChars="0"/>
              <w:jc w:val="center"/>
              <w:rPr>
                <w:rFonts w:hint="eastAsia" w:ascii="Times New Roman" w:hAnsi="Times New Roman" w:eastAsia="仿宋_GB2312" w:cstheme="minorBidi"/>
                <w:kern w:val="0"/>
                <w:sz w:val="32"/>
                <w:szCs w:val="32"/>
                <w:lang w:val="en-US" w:eastAsia="zh-CN" w:bidi="ar-SA"/>
              </w:rPr>
            </w:pPr>
            <w:r>
              <w:rPr>
                <w:rFonts w:hint="eastAsia" w:ascii="Times New Roman" w:hAnsi="Times New Roman" w:eastAsia="仿宋_GB2312" w:cstheme="minorBidi"/>
                <w:kern w:val="0"/>
                <w:sz w:val="32"/>
                <w:szCs w:val="32"/>
                <w:lang w:val="en-US" w:eastAsia="zh-CN"/>
              </w:rPr>
              <w:t>万    军</w:t>
            </w:r>
          </w:p>
        </w:tc>
        <w:tc>
          <w:tcPr>
            <w:tcW w:w="3576" w:type="dxa"/>
            <w:vAlign w:val="center"/>
          </w:tcPr>
          <w:p>
            <w:pPr>
              <w:widowControl/>
              <w:adjustRightInd w:val="0"/>
              <w:snapToGrid w:val="0"/>
              <w:spacing w:line="400" w:lineRule="exact"/>
              <w:ind w:firstLine="0" w:firstLineChars="0"/>
              <w:jc w:val="left"/>
              <w:rPr>
                <w:rFonts w:hint="eastAsia" w:ascii="Times New Roman" w:hAnsi="Times New Roman" w:eastAsia="仿宋_GB2312" w:cstheme="minorBidi"/>
                <w:kern w:val="0"/>
                <w:sz w:val="32"/>
                <w:szCs w:val="32"/>
                <w:lang w:val="zh-CN" w:eastAsia="zh-CN" w:bidi="ar-SA"/>
              </w:rPr>
            </w:pPr>
            <w:r>
              <w:rPr>
                <w:rFonts w:hint="eastAsia" w:ascii="Times New Roman" w:hAnsi="Times New Roman" w:eastAsia="仿宋_GB2312" w:cstheme="minorBidi"/>
                <w:kern w:val="0"/>
                <w:sz w:val="32"/>
                <w:szCs w:val="32"/>
                <w:lang w:val="zh-CN" w:eastAsia="zh-CN"/>
              </w:rPr>
              <w:t>高级工程师</w:t>
            </w:r>
          </w:p>
        </w:tc>
      </w:tr>
      <w:tr>
        <w:tblPrEx>
          <w:tblCellMar>
            <w:top w:w="0" w:type="dxa"/>
            <w:left w:w="108" w:type="dxa"/>
            <w:bottom w:w="0" w:type="dxa"/>
            <w:right w:w="108" w:type="dxa"/>
          </w:tblCellMar>
        </w:tblPrEx>
        <w:trPr>
          <w:trHeight w:val="522" w:hRule="exact"/>
          <w:jc w:val="center"/>
        </w:trPr>
        <w:tc>
          <w:tcPr>
            <w:tcW w:w="2061" w:type="dxa"/>
            <w:vAlign w:val="center"/>
          </w:tcPr>
          <w:p>
            <w:pPr>
              <w:spacing w:line="400" w:lineRule="exact"/>
              <w:ind w:left="-120" w:leftChars="-50" w:right="-120" w:rightChars="-50" w:firstLine="140" w:firstLineChars="50"/>
              <w:jc w:val="both"/>
              <w:rPr>
                <w:rFonts w:ascii="Times New Roman" w:hAnsi="Times New Roman" w:eastAsia="仿宋_GB2312"/>
                <w:b/>
                <w:kern w:val="0"/>
                <w:sz w:val="28"/>
                <w:szCs w:val="28"/>
              </w:rPr>
            </w:pPr>
            <w:r>
              <w:rPr>
                <w:rFonts w:hint="eastAsia" w:ascii="Times New Roman" w:hAnsi="Times New Roman" w:eastAsia="仿宋_GB2312"/>
                <w:b/>
                <w:kern w:val="0"/>
                <w:sz w:val="28"/>
                <w:szCs w:val="28"/>
              </w:rPr>
              <w:t>制</w:t>
            </w:r>
            <w:r>
              <w:rPr>
                <w:rFonts w:hint="eastAsia" w:eastAsia="仿宋_GB2312"/>
                <w:b/>
                <w:kern w:val="0"/>
                <w:sz w:val="28"/>
                <w:szCs w:val="28"/>
                <w:lang w:val="en-US" w:eastAsia="zh-CN"/>
              </w:rPr>
              <w:t xml:space="preserve">       </w:t>
            </w:r>
            <w:r>
              <w:rPr>
                <w:rFonts w:hint="eastAsia" w:ascii="Times New Roman" w:hAnsi="Times New Roman" w:eastAsia="仿宋_GB2312"/>
                <w:b/>
                <w:kern w:val="0"/>
                <w:sz w:val="28"/>
                <w:szCs w:val="28"/>
              </w:rPr>
              <w:t>图：</w:t>
            </w:r>
          </w:p>
        </w:tc>
        <w:tc>
          <w:tcPr>
            <w:tcW w:w="2717" w:type="dxa"/>
            <w:vAlign w:val="center"/>
          </w:tcPr>
          <w:p>
            <w:pPr>
              <w:widowControl/>
              <w:adjustRightInd w:val="0"/>
              <w:snapToGrid w:val="0"/>
              <w:spacing w:line="400" w:lineRule="exact"/>
              <w:ind w:firstLine="0" w:firstLineChars="0"/>
              <w:jc w:val="center"/>
              <w:rPr>
                <w:rFonts w:hint="eastAsia" w:eastAsia="仿宋_GB2312"/>
                <w:kern w:val="0"/>
                <w:sz w:val="32"/>
                <w:szCs w:val="32"/>
                <w:lang w:val="en-US" w:eastAsia="zh-CN"/>
              </w:rPr>
            </w:pPr>
            <w:r>
              <w:rPr>
                <w:rFonts w:hint="eastAsia" w:ascii="Times New Roman" w:hAnsi="Times New Roman" w:eastAsia="仿宋_GB2312"/>
                <w:kern w:val="0"/>
                <w:sz w:val="32"/>
                <w:szCs w:val="32"/>
                <w:lang w:val="en-US" w:eastAsia="zh-CN"/>
              </w:rPr>
              <w:t>于 姣 妲</w:t>
            </w:r>
          </w:p>
        </w:tc>
        <w:tc>
          <w:tcPr>
            <w:tcW w:w="3576" w:type="dxa"/>
            <w:vAlign w:val="center"/>
          </w:tcPr>
          <w:p>
            <w:pPr>
              <w:widowControl/>
              <w:adjustRightInd w:val="0"/>
              <w:snapToGrid w:val="0"/>
              <w:spacing w:line="400" w:lineRule="exact"/>
              <w:ind w:firstLine="0" w:firstLineChars="0"/>
              <w:jc w:val="left"/>
              <w:rPr>
                <w:rFonts w:hint="eastAsia" w:eastAsia="仿宋_GB2312"/>
                <w:kern w:val="0"/>
                <w:sz w:val="32"/>
                <w:szCs w:val="32"/>
              </w:rPr>
            </w:pPr>
            <w:r>
              <w:rPr>
                <w:rFonts w:hint="eastAsia" w:ascii="Times New Roman" w:hAnsi="Times New Roman" w:eastAsia="仿宋_GB2312"/>
                <w:kern w:val="0"/>
                <w:sz w:val="32"/>
                <w:szCs w:val="32"/>
                <w:lang w:val="en-US" w:eastAsia="zh-CN"/>
              </w:rPr>
              <w:t>工</w:t>
            </w:r>
            <w:r>
              <w:rPr>
                <w:rFonts w:hint="eastAsia" w:eastAsia="仿宋_GB2312"/>
                <w:kern w:val="0"/>
                <w:sz w:val="32"/>
                <w:szCs w:val="32"/>
                <w:lang w:val="en-US" w:eastAsia="zh-CN"/>
              </w:rPr>
              <w:t xml:space="preserve">  </w:t>
            </w:r>
            <w:r>
              <w:rPr>
                <w:rFonts w:hint="eastAsia" w:ascii="Times New Roman" w:hAnsi="Times New Roman" w:eastAsia="仿宋_GB2312"/>
                <w:kern w:val="0"/>
                <w:sz w:val="32"/>
                <w:szCs w:val="32"/>
                <w:lang w:val="en-US" w:eastAsia="zh-CN"/>
              </w:rPr>
              <w:t>程</w:t>
            </w:r>
            <w:r>
              <w:rPr>
                <w:rFonts w:hint="eastAsia" w:eastAsia="仿宋_GB2312"/>
                <w:kern w:val="0"/>
                <w:sz w:val="32"/>
                <w:szCs w:val="32"/>
                <w:lang w:val="en-US" w:eastAsia="zh-CN"/>
              </w:rPr>
              <w:t xml:space="preserve">  </w:t>
            </w:r>
            <w:r>
              <w:rPr>
                <w:rFonts w:hint="eastAsia" w:ascii="Times New Roman" w:hAnsi="Times New Roman" w:eastAsia="仿宋_GB2312"/>
                <w:kern w:val="0"/>
                <w:sz w:val="32"/>
                <w:szCs w:val="32"/>
                <w:lang w:val="en-US" w:eastAsia="zh-CN"/>
              </w:rPr>
              <w:t>师</w:t>
            </w:r>
          </w:p>
        </w:tc>
      </w:tr>
      <w:tr>
        <w:tblPrEx>
          <w:tblCellMar>
            <w:top w:w="0" w:type="dxa"/>
            <w:left w:w="108" w:type="dxa"/>
            <w:bottom w:w="0" w:type="dxa"/>
            <w:right w:w="108" w:type="dxa"/>
          </w:tblCellMar>
        </w:tblPrEx>
        <w:trPr>
          <w:trHeight w:val="849" w:hRule="exact"/>
          <w:jc w:val="center"/>
        </w:trPr>
        <w:tc>
          <w:tcPr>
            <w:tcW w:w="2061" w:type="dxa"/>
            <w:vAlign w:val="center"/>
          </w:tcPr>
          <w:p>
            <w:pPr>
              <w:spacing w:line="400" w:lineRule="exact"/>
              <w:ind w:left="252" w:leftChars="0" w:right="-120" w:rightChars="-50" w:hanging="252" w:hangingChars="100"/>
              <w:jc w:val="left"/>
              <w:rPr>
                <w:rFonts w:hint="default" w:ascii="Times New Roman" w:hAnsi="Times New Roman" w:eastAsia="仿宋" w:cs="Times New Roman"/>
                <w:b/>
                <w:bCs/>
                <w:w w:val="90"/>
                <w:kern w:val="0"/>
                <w:sz w:val="28"/>
                <w:szCs w:val="28"/>
                <w:lang w:val="en-US" w:eastAsia="zh-CN" w:bidi="zh-CN"/>
              </w:rPr>
            </w:pPr>
            <w:r>
              <w:rPr>
                <w:rFonts w:hint="eastAsia" w:ascii="Times New Roman" w:hAnsi="Times New Roman" w:eastAsia="仿宋" w:cs="Times New Roman"/>
                <w:b/>
                <w:bCs/>
                <w:w w:val="90"/>
                <w:kern w:val="0"/>
                <w:sz w:val="28"/>
                <w:szCs w:val="28"/>
                <w:lang w:val="en-US" w:eastAsia="zh-CN" w:bidi="zh-CN"/>
              </w:rPr>
              <w:t>阿 坝 县 林 业</w:t>
            </w:r>
            <w:r>
              <w:rPr>
                <w:rFonts w:hint="eastAsia" w:eastAsia="仿宋" w:cs="Times New Roman"/>
                <w:b/>
                <w:bCs/>
                <w:w w:val="90"/>
                <w:kern w:val="0"/>
                <w:sz w:val="28"/>
                <w:szCs w:val="28"/>
                <w:lang w:val="en-US" w:eastAsia="zh-CN" w:bidi="zh-CN"/>
              </w:rPr>
              <w:t xml:space="preserve">        </w:t>
            </w:r>
          </w:p>
          <w:p>
            <w:pPr>
              <w:spacing w:line="400" w:lineRule="exact"/>
              <w:ind w:left="252" w:leftChars="0" w:right="-120" w:rightChars="-50" w:hanging="252" w:hangingChars="100"/>
              <w:jc w:val="distribute"/>
              <w:rPr>
                <w:rFonts w:hint="eastAsia" w:ascii="Times New Roman" w:hAnsi="Times New Roman" w:eastAsia="仿宋" w:cs="Times New Roman"/>
                <w:b/>
                <w:bCs/>
                <w:w w:val="90"/>
                <w:kern w:val="0"/>
                <w:sz w:val="28"/>
                <w:szCs w:val="28"/>
                <w:lang w:val="en-US" w:eastAsia="zh-CN" w:bidi="zh-CN"/>
              </w:rPr>
            </w:pPr>
            <w:r>
              <w:rPr>
                <w:rFonts w:hint="eastAsia" w:ascii="Times New Roman" w:hAnsi="Times New Roman" w:eastAsia="仿宋" w:cs="Times New Roman"/>
                <w:b/>
                <w:bCs/>
                <w:w w:val="90"/>
                <w:kern w:val="0"/>
                <w:sz w:val="28"/>
                <w:szCs w:val="28"/>
                <w:lang w:val="en-US" w:eastAsia="zh-CN" w:bidi="zh-CN"/>
              </w:rPr>
              <w:t>和 草 原 局：</w:t>
            </w:r>
          </w:p>
        </w:tc>
        <w:tc>
          <w:tcPr>
            <w:tcW w:w="2717" w:type="dxa"/>
            <w:vAlign w:val="center"/>
          </w:tcPr>
          <w:p>
            <w:pPr>
              <w:widowControl/>
              <w:adjustRightInd w:val="0"/>
              <w:snapToGrid w:val="0"/>
              <w:spacing w:line="400" w:lineRule="exact"/>
              <w:ind w:firstLine="0" w:firstLineChars="0"/>
              <w:jc w:val="center"/>
              <w:rPr>
                <w:rFonts w:hint="eastAsia" w:ascii="Times New Roman" w:hAnsi="Times New Roman" w:eastAsia="仿宋_GB2312"/>
                <w:kern w:val="0"/>
                <w:sz w:val="32"/>
                <w:szCs w:val="32"/>
                <w:lang w:val="en-US" w:eastAsia="zh-CN"/>
              </w:rPr>
            </w:pPr>
            <w:r>
              <w:rPr>
                <w:rFonts w:hint="eastAsia" w:eastAsia="仿宋_GB2312"/>
                <w:kern w:val="0"/>
                <w:sz w:val="32"/>
                <w:szCs w:val="32"/>
                <w:lang w:val="en-US" w:eastAsia="zh-CN"/>
              </w:rPr>
              <w:t>陈 俊 华</w:t>
            </w:r>
          </w:p>
        </w:tc>
        <w:tc>
          <w:tcPr>
            <w:tcW w:w="3576" w:type="dxa"/>
            <w:vAlign w:val="center"/>
          </w:tcPr>
          <w:p>
            <w:pPr>
              <w:adjustRightInd/>
              <w:snapToGrid/>
              <w:spacing w:line="400" w:lineRule="exact"/>
              <w:ind w:left="-120" w:leftChars="-50" w:right="-120" w:rightChars="-50" w:firstLine="160" w:firstLineChars="50"/>
              <w:jc w:val="both"/>
              <w:rPr>
                <w:rFonts w:hint="eastAsia" w:ascii="Times New Roman" w:hAnsi="Times New Roman" w:eastAsia="仿宋_GB2312"/>
                <w:kern w:val="0"/>
                <w:sz w:val="32"/>
                <w:szCs w:val="32"/>
                <w:lang w:val="en-US" w:eastAsia="zh-CN"/>
              </w:rPr>
            </w:pPr>
            <w:r>
              <w:rPr>
                <w:rFonts w:hint="eastAsia" w:ascii="Times New Roman" w:hAnsi="Times New Roman" w:eastAsia="仿宋_GB2312" w:cstheme="minorBidi"/>
                <w:kern w:val="0"/>
                <w:sz w:val="32"/>
                <w:szCs w:val="32"/>
                <w:lang w:val="zh-CN" w:eastAsia="zh-CN"/>
              </w:rPr>
              <w:t>高级工程师</w:t>
            </w:r>
          </w:p>
        </w:tc>
      </w:tr>
      <w:tr>
        <w:tblPrEx>
          <w:tblCellMar>
            <w:top w:w="0" w:type="dxa"/>
            <w:left w:w="108" w:type="dxa"/>
            <w:bottom w:w="0" w:type="dxa"/>
            <w:right w:w="108" w:type="dxa"/>
          </w:tblCellMar>
        </w:tblPrEx>
        <w:trPr>
          <w:trHeight w:val="849" w:hRule="exact"/>
          <w:jc w:val="center"/>
        </w:trPr>
        <w:tc>
          <w:tcPr>
            <w:tcW w:w="2061" w:type="dxa"/>
            <w:vAlign w:val="center"/>
          </w:tcPr>
          <w:p>
            <w:pPr>
              <w:spacing w:line="400" w:lineRule="exact"/>
              <w:ind w:left="252" w:leftChars="0" w:right="-120" w:rightChars="-50" w:hanging="252" w:hangingChars="100"/>
              <w:jc w:val="distribute"/>
              <w:rPr>
                <w:rFonts w:hint="eastAsia" w:ascii="Times New Roman" w:hAnsi="Times New Roman" w:eastAsia="仿宋" w:cs="Times New Roman"/>
                <w:b/>
                <w:bCs/>
                <w:w w:val="90"/>
                <w:kern w:val="0"/>
                <w:sz w:val="28"/>
                <w:szCs w:val="28"/>
                <w:lang w:val="en-US" w:eastAsia="zh-CN" w:bidi="zh-CN"/>
              </w:rPr>
            </w:pPr>
          </w:p>
        </w:tc>
        <w:tc>
          <w:tcPr>
            <w:tcW w:w="2717" w:type="dxa"/>
            <w:vAlign w:val="center"/>
          </w:tcPr>
          <w:p>
            <w:pPr>
              <w:widowControl/>
              <w:adjustRightInd w:val="0"/>
              <w:snapToGrid w:val="0"/>
              <w:spacing w:line="400" w:lineRule="exact"/>
              <w:ind w:firstLine="0" w:firstLineChars="0"/>
              <w:jc w:val="center"/>
              <w:rPr>
                <w:rFonts w:hint="eastAsia" w:ascii="Times New Roman" w:hAnsi="Times New Roman" w:eastAsia="仿宋_GB2312" w:cstheme="minorBidi"/>
                <w:kern w:val="0"/>
                <w:sz w:val="32"/>
                <w:szCs w:val="32"/>
                <w:lang w:val="en-US" w:eastAsia="zh-CN" w:bidi="ar-SA"/>
              </w:rPr>
            </w:pPr>
            <w:r>
              <w:rPr>
                <w:rFonts w:hint="eastAsia" w:ascii="Times New Roman" w:hAnsi="Times New Roman" w:eastAsia="仿宋_GB2312"/>
                <w:kern w:val="0"/>
                <w:sz w:val="32"/>
                <w:szCs w:val="32"/>
                <w:lang w:val="en-US" w:eastAsia="zh-CN"/>
              </w:rPr>
              <w:t>仲</w:t>
            </w:r>
            <w:r>
              <w:rPr>
                <w:rFonts w:hint="eastAsia" w:eastAsia="仿宋_GB2312"/>
                <w:kern w:val="0"/>
                <w:sz w:val="32"/>
                <w:szCs w:val="32"/>
                <w:lang w:val="en-US" w:eastAsia="zh-CN"/>
              </w:rPr>
              <w:t xml:space="preserve"> </w:t>
            </w:r>
            <w:r>
              <w:rPr>
                <w:rFonts w:hint="eastAsia" w:ascii="Times New Roman" w:hAnsi="Times New Roman" w:eastAsia="仿宋_GB2312"/>
                <w:kern w:val="0"/>
                <w:sz w:val="32"/>
                <w:szCs w:val="32"/>
                <w:lang w:val="en-US" w:eastAsia="zh-CN"/>
              </w:rPr>
              <w:t>小</w:t>
            </w:r>
            <w:r>
              <w:rPr>
                <w:rFonts w:hint="eastAsia" w:eastAsia="仿宋_GB2312"/>
                <w:kern w:val="0"/>
                <w:sz w:val="32"/>
                <w:szCs w:val="32"/>
                <w:lang w:val="en-US" w:eastAsia="zh-CN"/>
              </w:rPr>
              <w:t xml:space="preserve"> </w:t>
            </w:r>
            <w:r>
              <w:rPr>
                <w:rFonts w:hint="eastAsia" w:ascii="Times New Roman" w:hAnsi="Times New Roman" w:eastAsia="仿宋_GB2312"/>
                <w:kern w:val="0"/>
                <w:sz w:val="32"/>
                <w:szCs w:val="32"/>
                <w:lang w:val="en-US" w:eastAsia="zh-CN"/>
              </w:rPr>
              <w:t>波</w:t>
            </w:r>
          </w:p>
        </w:tc>
        <w:tc>
          <w:tcPr>
            <w:tcW w:w="3576" w:type="dxa"/>
            <w:vAlign w:val="center"/>
          </w:tcPr>
          <w:p>
            <w:pPr>
              <w:adjustRightInd/>
              <w:snapToGrid/>
              <w:spacing w:line="400" w:lineRule="exact"/>
              <w:ind w:left="-120" w:leftChars="-50" w:right="-120" w:rightChars="-50" w:firstLine="160" w:firstLineChars="50"/>
              <w:jc w:val="both"/>
              <w:rPr>
                <w:rFonts w:hint="eastAsia" w:ascii="Times New Roman" w:hAnsi="Times New Roman" w:eastAsia="仿宋_GB2312" w:cstheme="minorBidi"/>
                <w:kern w:val="0"/>
                <w:sz w:val="32"/>
                <w:szCs w:val="32"/>
                <w:lang w:val="en-US" w:eastAsia="zh-CN" w:bidi="ar-SA"/>
              </w:rPr>
            </w:pPr>
            <w:r>
              <w:rPr>
                <w:rFonts w:hint="eastAsia" w:ascii="Times New Roman" w:hAnsi="Times New Roman" w:eastAsia="仿宋_GB2312"/>
                <w:kern w:val="0"/>
                <w:sz w:val="32"/>
                <w:szCs w:val="32"/>
                <w:lang w:val="en-US" w:eastAsia="zh-CN"/>
              </w:rPr>
              <w:t>工  程  师</w:t>
            </w:r>
          </w:p>
        </w:tc>
      </w:tr>
      <w:tr>
        <w:tblPrEx>
          <w:tblCellMar>
            <w:top w:w="0" w:type="dxa"/>
            <w:left w:w="108" w:type="dxa"/>
            <w:bottom w:w="0" w:type="dxa"/>
            <w:right w:w="108" w:type="dxa"/>
          </w:tblCellMar>
        </w:tblPrEx>
        <w:trPr>
          <w:trHeight w:val="849" w:hRule="exact"/>
          <w:jc w:val="center"/>
        </w:trPr>
        <w:tc>
          <w:tcPr>
            <w:tcW w:w="2061" w:type="dxa"/>
            <w:vAlign w:val="center"/>
          </w:tcPr>
          <w:p>
            <w:pPr>
              <w:spacing w:line="400" w:lineRule="exact"/>
              <w:ind w:left="252" w:leftChars="0" w:right="-120" w:rightChars="-50" w:hanging="252" w:hangingChars="100"/>
              <w:jc w:val="left"/>
              <w:rPr>
                <w:rFonts w:hint="eastAsia" w:ascii="Times New Roman" w:hAnsi="Times New Roman" w:eastAsia="仿宋" w:cs="Times New Roman"/>
                <w:b/>
                <w:bCs/>
                <w:w w:val="90"/>
                <w:kern w:val="0"/>
                <w:sz w:val="28"/>
                <w:szCs w:val="28"/>
                <w:lang w:val="en-US" w:eastAsia="zh-CN" w:bidi="zh-CN"/>
              </w:rPr>
            </w:pPr>
            <w:r>
              <w:rPr>
                <w:rFonts w:hint="eastAsia" w:ascii="Times New Roman" w:hAnsi="Times New Roman" w:eastAsia="仿宋" w:cs="Times New Roman"/>
                <w:b/>
                <w:bCs/>
                <w:w w:val="90"/>
                <w:kern w:val="0"/>
                <w:sz w:val="28"/>
                <w:szCs w:val="28"/>
                <w:lang w:val="en-US" w:eastAsia="zh-CN" w:bidi="zh-CN"/>
              </w:rPr>
              <w:t>阿</w:t>
            </w:r>
            <w:r>
              <w:rPr>
                <w:rFonts w:hint="eastAsia" w:eastAsia="仿宋" w:cs="Times New Roman"/>
                <w:b/>
                <w:bCs/>
                <w:w w:val="90"/>
                <w:kern w:val="0"/>
                <w:sz w:val="28"/>
                <w:szCs w:val="28"/>
                <w:lang w:val="en-US" w:eastAsia="zh-CN" w:bidi="zh-CN"/>
              </w:rPr>
              <w:t xml:space="preserve"> </w:t>
            </w:r>
            <w:r>
              <w:rPr>
                <w:rFonts w:hint="eastAsia" w:ascii="Times New Roman" w:hAnsi="Times New Roman" w:eastAsia="仿宋" w:cs="Times New Roman"/>
                <w:b/>
                <w:bCs/>
                <w:w w:val="90"/>
                <w:kern w:val="0"/>
                <w:sz w:val="28"/>
                <w:szCs w:val="28"/>
                <w:lang w:val="en-US" w:eastAsia="zh-CN" w:bidi="zh-CN"/>
              </w:rPr>
              <w:t>坝 县 交 通</w:t>
            </w:r>
          </w:p>
          <w:p>
            <w:pPr>
              <w:spacing w:line="400" w:lineRule="exact"/>
              <w:ind w:left="252" w:leftChars="0" w:right="-120" w:rightChars="-50" w:hanging="252" w:hangingChars="100"/>
              <w:jc w:val="distribute"/>
              <w:rPr>
                <w:rFonts w:hint="eastAsia" w:ascii="Times New Roman" w:hAnsi="Times New Roman" w:eastAsia="仿宋" w:cs="Times New Roman"/>
                <w:b/>
                <w:bCs/>
                <w:w w:val="90"/>
                <w:kern w:val="0"/>
                <w:sz w:val="28"/>
                <w:szCs w:val="28"/>
                <w:lang w:val="en-US" w:eastAsia="zh-CN" w:bidi="zh-CN"/>
              </w:rPr>
            </w:pPr>
            <w:r>
              <w:rPr>
                <w:rFonts w:hint="eastAsia" w:ascii="Times New Roman" w:hAnsi="Times New Roman" w:eastAsia="仿宋" w:cs="Times New Roman"/>
                <w:b/>
                <w:bCs/>
                <w:w w:val="90"/>
                <w:kern w:val="0"/>
                <w:sz w:val="28"/>
                <w:szCs w:val="28"/>
                <w:lang w:val="en-US" w:eastAsia="zh-CN" w:bidi="zh-CN"/>
              </w:rPr>
              <w:t>运</w:t>
            </w:r>
            <w:r>
              <w:rPr>
                <w:rFonts w:hint="eastAsia" w:eastAsia="仿宋" w:cs="Times New Roman"/>
                <w:b/>
                <w:bCs/>
                <w:w w:val="90"/>
                <w:kern w:val="0"/>
                <w:sz w:val="28"/>
                <w:szCs w:val="28"/>
                <w:lang w:val="en-US" w:eastAsia="zh-CN" w:bidi="zh-CN"/>
              </w:rPr>
              <w:t xml:space="preserve"> </w:t>
            </w:r>
            <w:r>
              <w:rPr>
                <w:rFonts w:hint="eastAsia" w:ascii="Times New Roman" w:hAnsi="Times New Roman" w:eastAsia="仿宋" w:cs="Times New Roman"/>
                <w:b/>
                <w:bCs/>
                <w:w w:val="90"/>
                <w:kern w:val="0"/>
                <w:sz w:val="28"/>
                <w:szCs w:val="28"/>
                <w:lang w:val="en-US" w:eastAsia="zh-CN" w:bidi="zh-CN"/>
              </w:rPr>
              <w:t xml:space="preserve"> 输 </w:t>
            </w:r>
            <w:r>
              <w:rPr>
                <w:rFonts w:hint="eastAsia" w:eastAsia="仿宋" w:cs="Times New Roman"/>
                <w:b/>
                <w:bCs/>
                <w:w w:val="90"/>
                <w:kern w:val="0"/>
                <w:sz w:val="28"/>
                <w:szCs w:val="28"/>
                <w:lang w:val="en-US" w:eastAsia="zh-CN" w:bidi="zh-CN"/>
              </w:rPr>
              <w:t xml:space="preserve"> </w:t>
            </w:r>
            <w:r>
              <w:rPr>
                <w:rFonts w:hint="eastAsia" w:ascii="Times New Roman" w:hAnsi="Times New Roman" w:eastAsia="仿宋" w:cs="Times New Roman"/>
                <w:b/>
                <w:bCs/>
                <w:w w:val="90"/>
                <w:kern w:val="0"/>
                <w:sz w:val="28"/>
                <w:szCs w:val="28"/>
                <w:lang w:val="en-US" w:eastAsia="zh-CN" w:bidi="zh-CN"/>
              </w:rPr>
              <w:t>局：</w:t>
            </w:r>
          </w:p>
        </w:tc>
        <w:tc>
          <w:tcPr>
            <w:tcW w:w="2717" w:type="dxa"/>
            <w:vAlign w:val="center"/>
          </w:tcPr>
          <w:p>
            <w:pPr>
              <w:widowControl/>
              <w:adjustRightInd w:val="0"/>
              <w:snapToGrid w:val="0"/>
              <w:spacing w:line="400" w:lineRule="exact"/>
              <w:ind w:firstLine="0" w:firstLineChars="0"/>
              <w:jc w:val="center"/>
              <w:rPr>
                <w:rFonts w:hint="eastAsia" w:ascii="Times New Roman" w:hAnsi="Times New Roman" w:eastAsia="仿宋_GB2312"/>
                <w:kern w:val="0"/>
                <w:sz w:val="32"/>
                <w:szCs w:val="32"/>
                <w:lang w:val="en-US" w:eastAsia="zh-CN"/>
              </w:rPr>
            </w:pPr>
            <w:r>
              <w:rPr>
                <w:rFonts w:hint="eastAsia" w:ascii="Times New Roman" w:hAnsi="Times New Roman" w:eastAsia="仿宋_GB2312"/>
                <w:kern w:val="0"/>
                <w:sz w:val="32"/>
                <w:szCs w:val="32"/>
                <w:lang w:val="en-US" w:eastAsia="zh-CN"/>
              </w:rPr>
              <w:t>刘</w:t>
            </w:r>
            <w:r>
              <w:rPr>
                <w:rFonts w:hint="eastAsia" w:eastAsia="仿宋_GB2312"/>
                <w:kern w:val="0"/>
                <w:sz w:val="32"/>
                <w:szCs w:val="32"/>
                <w:lang w:val="en-US" w:eastAsia="zh-CN"/>
              </w:rPr>
              <w:t xml:space="preserve"> </w:t>
            </w:r>
            <w:r>
              <w:rPr>
                <w:rFonts w:hint="eastAsia" w:ascii="Times New Roman" w:hAnsi="Times New Roman" w:eastAsia="仿宋_GB2312"/>
                <w:kern w:val="0"/>
                <w:sz w:val="32"/>
                <w:szCs w:val="32"/>
                <w:lang w:val="en-US" w:eastAsia="zh-CN"/>
              </w:rPr>
              <w:t>新</w:t>
            </w:r>
            <w:r>
              <w:rPr>
                <w:rFonts w:hint="eastAsia" w:eastAsia="仿宋_GB2312"/>
                <w:kern w:val="0"/>
                <w:sz w:val="32"/>
                <w:szCs w:val="32"/>
                <w:lang w:val="en-US" w:eastAsia="zh-CN"/>
              </w:rPr>
              <w:t xml:space="preserve"> </w:t>
            </w:r>
            <w:r>
              <w:rPr>
                <w:rFonts w:hint="eastAsia" w:ascii="Times New Roman" w:hAnsi="Times New Roman" w:eastAsia="仿宋_GB2312"/>
                <w:kern w:val="0"/>
                <w:sz w:val="32"/>
                <w:szCs w:val="32"/>
                <w:lang w:val="en-US" w:eastAsia="zh-CN"/>
              </w:rPr>
              <w:t>旭</w:t>
            </w:r>
          </w:p>
        </w:tc>
        <w:tc>
          <w:tcPr>
            <w:tcW w:w="3576" w:type="dxa"/>
            <w:vAlign w:val="center"/>
          </w:tcPr>
          <w:p>
            <w:pPr>
              <w:adjustRightInd/>
              <w:snapToGrid/>
              <w:spacing w:line="400" w:lineRule="exact"/>
              <w:ind w:left="-120" w:leftChars="-50" w:right="-120" w:rightChars="-50" w:firstLine="160" w:firstLineChars="50"/>
              <w:jc w:val="both"/>
              <w:rPr>
                <w:rFonts w:hint="eastAsia" w:ascii="Times New Roman" w:hAnsi="Times New Roman" w:eastAsia="仿宋_GB2312"/>
                <w:kern w:val="0"/>
                <w:sz w:val="32"/>
                <w:szCs w:val="32"/>
                <w:lang w:val="en-US" w:eastAsia="zh-CN"/>
              </w:rPr>
            </w:pPr>
            <w:r>
              <w:rPr>
                <w:rFonts w:hint="eastAsia" w:ascii="Times New Roman" w:hAnsi="Times New Roman" w:eastAsia="仿宋_GB2312"/>
                <w:kern w:val="0"/>
                <w:sz w:val="32"/>
                <w:szCs w:val="32"/>
                <w:lang w:val="en-US" w:eastAsia="zh-CN"/>
              </w:rPr>
              <w:t>工</w:t>
            </w:r>
            <w:r>
              <w:rPr>
                <w:rFonts w:hint="eastAsia" w:eastAsia="仿宋_GB2312"/>
                <w:kern w:val="0"/>
                <w:sz w:val="32"/>
                <w:szCs w:val="32"/>
                <w:lang w:val="en-US" w:eastAsia="zh-CN"/>
              </w:rPr>
              <w:t xml:space="preserve">  </w:t>
            </w:r>
            <w:r>
              <w:rPr>
                <w:rFonts w:hint="eastAsia" w:ascii="Times New Roman" w:hAnsi="Times New Roman" w:eastAsia="仿宋_GB2312"/>
                <w:kern w:val="0"/>
                <w:sz w:val="32"/>
                <w:szCs w:val="32"/>
                <w:lang w:val="en-US" w:eastAsia="zh-CN"/>
              </w:rPr>
              <w:t>程</w:t>
            </w:r>
            <w:r>
              <w:rPr>
                <w:rFonts w:hint="eastAsia" w:eastAsia="仿宋_GB2312"/>
                <w:kern w:val="0"/>
                <w:sz w:val="32"/>
                <w:szCs w:val="32"/>
                <w:lang w:val="en-US" w:eastAsia="zh-CN"/>
              </w:rPr>
              <w:t xml:space="preserve">  </w:t>
            </w:r>
            <w:r>
              <w:rPr>
                <w:rFonts w:hint="eastAsia" w:ascii="Times New Roman" w:hAnsi="Times New Roman" w:eastAsia="仿宋_GB2312"/>
                <w:kern w:val="0"/>
                <w:sz w:val="32"/>
                <w:szCs w:val="32"/>
                <w:lang w:val="en-US" w:eastAsia="zh-CN"/>
              </w:rPr>
              <w:t>师</w:t>
            </w:r>
          </w:p>
        </w:tc>
      </w:tr>
      <w:bookmarkEnd w:id="1"/>
    </w:tbl>
    <w:p>
      <w:pPr>
        <w:spacing w:line="440" w:lineRule="exact"/>
        <w:ind w:right="-333" w:rightChars="-139" w:firstLine="0" w:firstLineChars="0"/>
        <w:jc w:val="left"/>
        <w:rPr>
          <w:rFonts w:cs="Times New Roman"/>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851" w:footer="992" w:gutter="0"/>
          <w:pgBorders>
            <w:top w:val="none" w:sz="0" w:space="0"/>
            <w:left w:val="none" w:sz="0" w:space="0"/>
            <w:bottom w:val="none" w:sz="0" w:space="0"/>
            <w:right w:val="none" w:sz="0" w:space="0"/>
          </w:pgBorders>
          <w:pgNumType w:start="1"/>
          <w:cols w:space="425" w:num="1"/>
          <w:docGrid w:type="linesAndChars" w:linePitch="326" w:charSpace="0"/>
        </w:sectPr>
      </w:pPr>
    </w:p>
    <w:p>
      <w:pPr>
        <w:spacing w:line="440" w:lineRule="exact"/>
        <w:ind w:right="-333" w:rightChars="-139" w:firstLine="0" w:firstLineChars="0"/>
        <w:jc w:val="left"/>
        <w:rPr>
          <w:rFonts w:cs="Times New Roman"/>
        </w:rPr>
      </w:pPr>
    </w:p>
    <w:p>
      <w:pPr>
        <w:spacing w:line="440" w:lineRule="exact"/>
        <w:ind w:firstLine="0" w:firstLineChars="0"/>
        <w:jc w:val="center"/>
        <w:rPr>
          <w:rFonts w:eastAsia="黑体" w:cs="Times New Roman"/>
          <w:b/>
          <w:sz w:val="32"/>
        </w:rPr>
      </w:pPr>
      <w:r>
        <w:rPr>
          <w:rFonts w:eastAsia="黑体" w:cs="Times New Roman"/>
          <w:b/>
          <w:sz w:val="32"/>
          <w:lang w:val="zh-CN"/>
        </w:rPr>
        <w:t>目录</w:t>
      </w:r>
    </w:p>
    <w:p>
      <w:pPr>
        <w:pStyle w:val="29"/>
        <w:tabs>
          <w:tab w:val="right" w:leader="dot" w:pos="8312"/>
          <w:tab w:val="clear" w:pos="8302"/>
        </w:tabs>
      </w:pPr>
      <w:r>
        <w:rPr>
          <w:rFonts w:cs="Times New Roman"/>
        </w:rPr>
        <w:fldChar w:fldCharType="begin"/>
      </w:r>
      <w:r>
        <w:rPr>
          <w:rFonts w:cs="Times New Roman"/>
        </w:rPr>
        <w:instrText xml:space="preserve"> TOC \o "1-2" \h \z \u </w:instrText>
      </w:r>
      <w:r>
        <w:rPr>
          <w:rFonts w:cs="Times New Roman"/>
        </w:rPr>
        <w:fldChar w:fldCharType="separate"/>
      </w:r>
      <w:r>
        <w:rPr>
          <w:rFonts w:cs="Times New Roman"/>
        </w:rPr>
        <w:fldChar w:fldCharType="begin"/>
      </w:r>
      <w:r>
        <w:rPr>
          <w:rFonts w:cs="Times New Roman"/>
        </w:rPr>
        <w:instrText xml:space="preserve"> HYPERLINK \l _Toc31473 </w:instrText>
      </w:r>
      <w:r>
        <w:rPr>
          <w:rFonts w:cs="Times New Roman"/>
        </w:rPr>
        <w:fldChar w:fldCharType="separate"/>
      </w:r>
      <w:r>
        <w:rPr>
          <w:rFonts w:hint="eastAsia" w:cs="Times New Roman"/>
          <w:lang w:val="en-US" w:eastAsia="zh-CN"/>
        </w:rPr>
        <w:t xml:space="preserve">1 </w:t>
      </w:r>
      <w:r>
        <w:rPr>
          <w:rFonts w:cs="Times New Roman"/>
        </w:rPr>
        <w:t>前言</w:t>
      </w:r>
      <w:r>
        <w:tab/>
      </w:r>
      <w:r>
        <w:fldChar w:fldCharType="begin"/>
      </w:r>
      <w:r>
        <w:instrText xml:space="preserve"> PAGEREF _Toc31473 \h </w:instrText>
      </w:r>
      <w:r>
        <w:fldChar w:fldCharType="separate"/>
      </w:r>
      <w:r>
        <w:t>1</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_Toc14528 </w:instrText>
      </w:r>
      <w:r>
        <w:rPr>
          <w:rFonts w:cs="Times New Roman"/>
        </w:rPr>
        <w:fldChar w:fldCharType="separate"/>
      </w:r>
      <w:r>
        <w:rPr>
          <w:rFonts w:hint="eastAsia" w:cs="Times New Roman"/>
          <w:lang w:val="en-US" w:eastAsia="zh-CN"/>
        </w:rPr>
        <w:t xml:space="preserve">1.1 </w:t>
      </w:r>
      <w:r>
        <w:rPr>
          <w:rFonts w:cs="Times New Roman"/>
        </w:rPr>
        <w:t>项目建设背景</w:t>
      </w:r>
      <w:r>
        <w:tab/>
      </w:r>
      <w:r>
        <w:fldChar w:fldCharType="begin"/>
      </w:r>
      <w:r>
        <w:instrText xml:space="preserve"> PAGEREF _Toc14528 \h </w:instrText>
      </w:r>
      <w:r>
        <w:fldChar w:fldCharType="separate"/>
      </w:r>
      <w:r>
        <w:t>1</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_Toc19019 </w:instrText>
      </w:r>
      <w:r>
        <w:rPr>
          <w:rFonts w:cs="Times New Roman"/>
        </w:rPr>
        <w:fldChar w:fldCharType="separate"/>
      </w:r>
      <w:r>
        <w:rPr>
          <w:rFonts w:hint="eastAsia" w:cs="Times New Roman"/>
          <w:lang w:val="en-US" w:eastAsia="zh-CN"/>
        </w:rPr>
        <w:t xml:space="preserve">1.2 </w:t>
      </w:r>
      <w:r>
        <w:rPr>
          <w:rFonts w:cs="Times New Roman"/>
        </w:rPr>
        <w:t>建设的必要性</w:t>
      </w:r>
      <w:r>
        <w:tab/>
      </w:r>
      <w:r>
        <w:fldChar w:fldCharType="begin"/>
      </w:r>
      <w:r>
        <w:instrText xml:space="preserve"> PAGEREF _Toc19019 \h </w:instrText>
      </w:r>
      <w:r>
        <w:fldChar w:fldCharType="separate"/>
      </w:r>
      <w:r>
        <w:t>2</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_Toc22005 </w:instrText>
      </w:r>
      <w:r>
        <w:rPr>
          <w:rFonts w:cs="Times New Roman"/>
        </w:rPr>
        <w:fldChar w:fldCharType="separate"/>
      </w:r>
      <w:r>
        <w:rPr>
          <w:rFonts w:hint="eastAsia" w:cs="Times New Roman"/>
          <w:lang w:val="en-US" w:eastAsia="zh-CN"/>
        </w:rPr>
        <w:t xml:space="preserve">1.3 </w:t>
      </w:r>
      <w:r>
        <w:rPr>
          <w:rFonts w:cs="Times New Roman"/>
        </w:rPr>
        <w:t>任务由来及工作情况</w:t>
      </w:r>
      <w:r>
        <w:tab/>
      </w:r>
      <w:r>
        <w:fldChar w:fldCharType="begin"/>
      </w:r>
      <w:r>
        <w:instrText xml:space="preserve"> PAGEREF _Toc22005 \h </w:instrText>
      </w:r>
      <w:r>
        <w:fldChar w:fldCharType="separate"/>
      </w:r>
      <w:r>
        <w:t>6</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_Toc20099 </w:instrText>
      </w:r>
      <w:r>
        <w:rPr>
          <w:rFonts w:cs="Times New Roman"/>
        </w:rPr>
        <w:fldChar w:fldCharType="separate"/>
      </w:r>
      <w:r>
        <w:rPr>
          <w:rFonts w:hint="eastAsia" w:cs="Times New Roman"/>
          <w:lang w:val="en-US" w:eastAsia="zh-CN"/>
        </w:rPr>
        <w:t xml:space="preserve">1.4 </w:t>
      </w:r>
      <w:r>
        <w:rPr>
          <w:rFonts w:cs="Times New Roman"/>
        </w:rPr>
        <w:t>评价报告编制依据</w:t>
      </w:r>
      <w:r>
        <w:tab/>
      </w:r>
      <w:r>
        <w:fldChar w:fldCharType="begin"/>
      </w:r>
      <w:r>
        <w:instrText xml:space="preserve"> PAGEREF _Toc20099 \h </w:instrText>
      </w:r>
      <w:r>
        <w:fldChar w:fldCharType="separate"/>
      </w:r>
      <w:r>
        <w:t>6</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_Toc15592 </w:instrText>
      </w:r>
      <w:r>
        <w:rPr>
          <w:rFonts w:cs="Times New Roman"/>
        </w:rPr>
        <w:fldChar w:fldCharType="separate"/>
      </w:r>
      <w:r>
        <w:rPr>
          <w:rFonts w:hint="eastAsia" w:cs="Times New Roman"/>
          <w:lang w:val="en-US" w:eastAsia="zh-CN"/>
        </w:rPr>
        <w:t xml:space="preserve">1.5 </w:t>
      </w:r>
      <w:r>
        <w:rPr>
          <w:rFonts w:cs="Times New Roman"/>
        </w:rPr>
        <w:t>评价目的与意义</w:t>
      </w:r>
      <w:r>
        <w:tab/>
      </w:r>
      <w:r>
        <w:fldChar w:fldCharType="begin"/>
      </w:r>
      <w:r>
        <w:instrText xml:space="preserve"> PAGEREF _Toc15592 \h </w:instrText>
      </w:r>
      <w:r>
        <w:fldChar w:fldCharType="separate"/>
      </w:r>
      <w:r>
        <w:t>8</w:t>
      </w:r>
      <w:r>
        <w:fldChar w:fldCharType="end"/>
      </w:r>
      <w:r>
        <w:rPr>
          <w:rFonts w:cs="Times New Roman"/>
        </w:rPr>
        <w:fldChar w:fldCharType="end"/>
      </w:r>
    </w:p>
    <w:p>
      <w:pPr>
        <w:pStyle w:val="29"/>
        <w:tabs>
          <w:tab w:val="right" w:leader="dot" w:pos="8312"/>
          <w:tab w:val="clear" w:pos="8302"/>
        </w:tabs>
      </w:pPr>
      <w:r>
        <w:rPr>
          <w:rFonts w:cs="Times New Roman"/>
        </w:rPr>
        <w:fldChar w:fldCharType="begin"/>
      </w:r>
      <w:r>
        <w:rPr>
          <w:rFonts w:cs="Times New Roman"/>
        </w:rPr>
        <w:instrText xml:space="preserve"> HYPERLINK \l _Toc10618 </w:instrText>
      </w:r>
      <w:r>
        <w:rPr>
          <w:rFonts w:cs="Times New Roman"/>
        </w:rPr>
        <w:fldChar w:fldCharType="separate"/>
      </w:r>
      <w:r>
        <w:rPr>
          <w:rFonts w:hint="eastAsia" w:cs="Times New Roman"/>
          <w:lang w:val="en-US" w:eastAsia="zh-CN"/>
        </w:rPr>
        <w:t xml:space="preserve">2 </w:t>
      </w:r>
      <w:r>
        <w:rPr>
          <w:rFonts w:cs="Times New Roman"/>
        </w:rPr>
        <w:t>工程建设概况</w:t>
      </w:r>
      <w:r>
        <w:tab/>
      </w:r>
      <w:r>
        <w:fldChar w:fldCharType="begin"/>
      </w:r>
      <w:r>
        <w:instrText xml:space="preserve"> PAGEREF _Toc10618 \h </w:instrText>
      </w:r>
      <w:r>
        <w:fldChar w:fldCharType="separate"/>
      </w:r>
      <w:r>
        <w:t>9</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_Toc15534 </w:instrText>
      </w:r>
      <w:r>
        <w:rPr>
          <w:rFonts w:cs="Times New Roman"/>
        </w:rPr>
        <w:fldChar w:fldCharType="separate"/>
      </w:r>
      <w:r>
        <w:rPr>
          <w:rFonts w:hint="eastAsia" w:cs="Times New Roman"/>
          <w:lang w:val="en-US" w:eastAsia="zh-CN"/>
        </w:rPr>
        <w:t xml:space="preserve">2.1 </w:t>
      </w:r>
      <w:r>
        <w:rPr>
          <w:rFonts w:cs="Times New Roman"/>
        </w:rPr>
        <w:t>项目基本情况</w:t>
      </w:r>
      <w:r>
        <w:tab/>
      </w:r>
      <w:r>
        <w:fldChar w:fldCharType="begin"/>
      </w:r>
      <w:r>
        <w:instrText xml:space="preserve"> PAGEREF _Toc15534 \h </w:instrText>
      </w:r>
      <w:r>
        <w:fldChar w:fldCharType="separate"/>
      </w:r>
      <w:r>
        <w:t>9</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_Toc14278 </w:instrText>
      </w:r>
      <w:r>
        <w:rPr>
          <w:rFonts w:cs="Times New Roman"/>
        </w:rPr>
        <w:fldChar w:fldCharType="separate"/>
      </w:r>
      <w:r>
        <w:rPr>
          <w:rFonts w:hint="eastAsia" w:cs="Times New Roman"/>
          <w:lang w:val="en-US" w:eastAsia="zh-CN"/>
        </w:rPr>
        <w:t xml:space="preserve">2.2 </w:t>
      </w:r>
      <w:r>
        <w:rPr>
          <w:rFonts w:cs="Times New Roman"/>
        </w:rPr>
        <w:t>项目建设与湿地公园关系</w:t>
      </w:r>
      <w:r>
        <w:tab/>
      </w:r>
      <w:r>
        <w:fldChar w:fldCharType="begin"/>
      </w:r>
      <w:r>
        <w:instrText xml:space="preserve"> PAGEREF _Toc14278 \h </w:instrText>
      </w:r>
      <w:r>
        <w:fldChar w:fldCharType="separate"/>
      </w:r>
      <w:r>
        <w:t>19</w:t>
      </w:r>
      <w:r>
        <w:fldChar w:fldCharType="end"/>
      </w:r>
      <w:r>
        <w:rPr>
          <w:rFonts w:cs="Times New Roman"/>
        </w:rPr>
        <w:fldChar w:fldCharType="end"/>
      </w:r>
    </w:p>
    <w:p>
      <w:pPr>
        <w:pStyle w:val="29"/>
        <w:tabs>
          <w:tab w:val="right" w:leader="dot" w:pos="8312"/>
          <w:tab w:val="clear" w:pos="8302"/>
        </w:tabs>
      </w:pPr>
      <w:r>
        <w:rPr>
          <w:rFonts w:cs="Times New Roman"/>
        </w:rPr>
        <w:fldChar w:fldCharType="begin"/>
      </w:r>
      <w:r>
        <w:rPr>
          <w:rFonts w:cs="Times New Roman"/>
        </w:rPr>
        <w:instrText xml:space="preserve"> HYPERLINK \l _Toc10770 </w:instrText>
      </w:r>
      <w:r>
        <w:rPr>
          <w:rFonts w:cs="Times New Roman"/>
        </w:rPr>
        <w:fldChar w:fldCharType="separate"/>
      </w:r>
      <w:r>
        <w:rPr>
          <w:rFonts w:hint="eastAsia" w:cs="Times New Roman"/>
          <w:lang w:val="en-US" w:eastAsia="zh-CN"/>
        </w:rPr>
        <w:t xml:space="preserve">3 </w:t>
      </w:r>
      <w:r>
        <w:rPr>
          <w:rFonts w:cs="Times New Roman"/>
        </w:rPr>
        <w:t>四川</w:t>
      </w:r>
      <w:r>
        <w:rPr>
          <w:rFonts w:hint="eastAsia" w:cs="Times New Roman"/>
        </w:rPr>
        <w:t>阿坝莲宝叶则</w:t>
      </w:r>
      <w:r>
        <w:rPr>
          <w:rFonts w:cs="Times New Roman"/>
        </w:rPr>
        <w:t>省级湿地公园概况</w:t>
      </w:r>
      <w:r>
        <w:tab/>
      </w:r>
      <w:r>
        <w:fldChar w:fldCharType="begin"/>
      </w:r>
      <w:r>
        <w:instrText xml:space="preserve"> PAGEREF _Toc10770 \h </w:instrText>
      </w:r>
      <w:r>
        <w:fldChar w:fldCharType="separate"/>
      </w:r>
      <w:r>
        <w:t>22</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_Toc25448 </w:instrText>
      </w:r>
      <w:r>
        <w:rPr>
          <w:rFonts w:cs="Times New Roman"/>
        </w:rPr>
        <w:fldChar w:fldCharType="separate"/>
      </w:r>
      <w:r>
        <w:rPr>
          <w:rFonts w:hint="eastAsia" w:cs="Times New Roman"/>
          <w:lang w:val="en-US" w:eastAsia="zh-CN"/>
        </w:rPr>
        <w:t xml:space="preserve">3.1 </w:t>
      </w:r>
      <w:r>
        <w:rPr>
          <w:rFonts w:cs="Times New Roman"/>
        </w:rPr>
        <w:t>公园级别</w:t>
      </w:r>
      <w:r>
        <w:tab/>
      </w:r>
      <w:r>
        <w:fldChar w:fldCharType="begin"/>
      </w:r>
      <w:r>
        <w:instrText xml:space="preserve"> PAGEREF _Toc25448 \h </w:instrText>
      </w:r>
      <w:r>
        <w:fldChar w:fldCharType="separate"/>
      </w:r>
      <w:r>
        <w:t>22</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_Toc5606 </w:instrText>
      </w:r>
      <w:r>
        <w:rPr>
          <w:rFonts w:cs="Times New Roman"/>
        </w:rPr>
        <w:fldChar w:fldCharType="separate"/>
      </w:r>
      <w:r>
        <w:rPr>
          <w:rFonts w:hint="eastAsia" w:cs="Times New Roman"/>
          <w:lang w:val="en-US" w:eastAsia="zh-CN"/>
        </w:rPr>
        <w:t xml:space="preserve">3.2 </w:t>
      </w:r>
      <w:r>
        <w:rPr>
          <w:rFonts w:cs="Times New Roman"/>
        </w:rPr>
        <w:t>地理位置及范围</w:t>
      </w:r>
      <w:r>
        <w:tab/>
      </w:r>
      <w:r>
        <w:fldChar w:fldCharType="begin"/>
      </w:r>
      <w:r>
        <w:instrText xml:space="preserve"> PAGEREF _Toc5606 \h </w:instrText>
      </w:r>
      <w:r>
        <w:fldChar w:fldCharType="separate"/>
      </w:r>
      <w:r>
        <w:t>22</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_Toc30039 </w:instrText>
      </w:r>
      <w:r>
        <w:rPr>
          <w:rFonts w:cs="Times New Roman"/>
        </w:rPr>
        <w:fldChar w:fldCharType="separate"/>
      </w:r>
      <w:r>
        <w:rPr>
          <w:rFonts w:hint="eastAsia" w:cs="Times New Roman"/>
          <w:lang w:val="en-US" w:eastAsia="zh-CN"/>
        </w:rPr>
        <w:t xml:space="preserve">3.3 </w:t>
      </w:r>
      <w:r>
        <w:rPr>
          <w:rFonts w:hint="eastAsia" w:cs="Times New Roman"/>
        </w:rPr>
        <w:t>湿地资源</w:t>
      </w:r>
      <w:r>
        <w:tab/>
      </w:r>
      <w:r>
        <w:fldChar w:fldCharType="begin"/>
      </w:r>
      <w:r>
        <w:instrText xml:space="preserve"> PAGEREF _Toc30039 \h </w:instrText>
      </w:r>
      <w:r>
        <w:fldChar w:fldCharType="separate"/>
      </w:r>
      <w:r>
        <w:t>23</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_Toc31478 </w:instrText>
      </w:r>
      <w:r>
        <w:rPr>
          <w:rFonts w:cs="Times New Roman"/>
        </w:rPr>
        <w:fldChar w:fldCharType="separate"/>
      </w:r>
      <w:r>
        <w:rPr>
          <w:rFonts w:hint="eastAsia" w:cs="Times New Roman"/>
          <w:lang w:val="en-US" w:eastAsia="zh-CN"/>
        </w:rPr>
        <w:t xml:space="preserve">3.4 </w:t>
      </w:r>
      <w:r>
        <w:rPr>
          <w:rFonts w:cs="Times New Roman"/>
        </w:rPr>
        <w:t>湿地景观及文化资源</w:t>
      </w:r>
      <w:r>
        <w:tab/>
      </w:r>
      <w:r>
        <w:fldChar w:fldCharType="begin"/>
      </w:r>
      <w:r>
        <w:instrText xml:space="preserve"> PAGEREF _Toc31478 \h </w:instrText>
      </w:r>
      <w:r>
        <w:fldChar w:fldCharType="separate"/>
      </w:r>
      <w:r>
        <w:t>30</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_Toc9270 </w:instrText>
      </w:r>
      <w:r>
        <w:rPr>
          <w:rFonts w:cs="Times New Roman"/>
        </w:rPr>
        <w:fldChar w:fldCharType="separate"/>
      </w:r>
      <w:r>
        <w:rPr>
          <w:rFonts w:hint="eastAsia" w:cs="Times New Roman"/>
          <w:lang w:val="en-US" w:eastAsia="zh-CN"/>
        </w:rPr>
        <w:t xml:space="preserve">3.5 </w:t>
      </w:r>
      <w:r>
        <w:rPr>
          <w:rFonts w:cs="Times New Roman"/>
        </w:rPr>
        <w:t>湿地</w:t>
      </w:r>
      <w:r>
        <w:rPr>
          <w:rFonts w:hint="eastAsia" w:cs="Times New Roman"/>
        </w:rPr>
        <w:t>生态</w:t>
      </w:r>
      <w:r>
        <w:rPr>
          <w:rFonts w:cs="Times New Roman"/>
        </w:rPr>
        <w:t>系统评价</w:t>
      </w:r>
      <w:r>
        <w:tab/>
      </w:r>
      <w:r>
        <w:fldChar w:fldCharType="begin"/>
      </w:r>
      <w:r>
        <w:instrText xml:space="preserve"> PAGEREF _Toc9270 \h </w:instrText>
      </w:r>
      <w:r>
        <w:fldChar w:fldCharType="separate"/>
      </w:r>
      <w:r>
        <w:t>30</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_Toc18510 </w:instrText>
      </w:r>
      <w:r>
        <w:rPr>
          <w:rFonts w:cs="Times New Roman"/>
        </w:rPr>
        <w:fldChar w:fldCharType="separate"/>
      </w:r>
      <w:r>
        <w:rPr>
          <w:rFonts w:hint="eastAsia" w:cs="Times New Roman"/>
          <w:lang w:val="en-US" w:eastAsia="zh-CN"/>
        </w:rPr>
        <w:t xml:space="preserve">3.6 </w:t>
      </w:r>
      <w:r>
        <w:rPr>
          <w:rFonts w:cs="Times New Roman"/>
        </w:rPr>
        <w:t>功能分区</w:t>
      </w:r>
      <w:r>
        <w:tab/>
      </w:r>
      <w:r>
        <w:fldChar w:fldCharType="begin"/>
      </w:r>
      <w:r>
        <w:instrText xml:space="preserve"> PAGEREF _Toc18510 \h </w:instrText>
      </w:r>
      <w:r>
        <w:fldChar w:fldCharType="separate"/>
      </w:r>
      <w:r>
        <w:t>31</w:t>
      </w:r>
      <w:r>
        <w:fldChar w:fldCharType="end"/>
      </w:r>
      <w:r>
        <w:rPr>
          <w:rFonts w:cs="Times New Roman"/>
        </w:rPr>
        <w:fldChar w:fldCharType="end"/>
      </w:r>
    </w:p>
    <w:p>
      <w:pPr>
        <w:pStyle w:val="29"/>
        <w:tabs>
          <w:tab w:val="right" w:leader="dot" w:pos="8312"/>
          <w:tab w:val="clear" w:pos="8302"/>
        </w:tabs>
      </w:pPr>
      <w:r>
        <w:rPr>
          <w:rFonts w:cs="Times New Roman"/>
        </w:rPr>
        <w:fldChar w:fldCharType="begin"/>
      </w:r>
      <w:r>
        <w:rPr>
          <w:rFonts w:cs="Times New Roman"/>
        </w:rPr>
        <w:instrText xml:space="preserve"> HYPERLINK \l _Toc20977 </w:instrText>
      </w:r>
      <w:r>
        <w:rPr>
          <w:rFonts w:cs="Times New Roman"/>
        </w:rPr>
        <w:fldChar w:fldCharType="separate"/>
      </w:r>
      <w:r>
        <w:rPr>
          <w:rFonts w:hint="eastAsia" w:cs="Times New Roman"/>
          <w:lang w:val="en-US" w:eastAsia="zh-CN"/>
        </w:rPr>
        <w:t xml:space="preserve">4 </w:t>
      </w:r>
      <w:r>
        <w:rPr>
          <w:rFonts w:cs="Times New Roman"/>
        </w:rPr>
        <w:t>评价区概况</w:t>
      </w:r>
      <w:r>
        <w:tab/>
      </w:r>
      <w:r>
        <w:fldChar w:fldCharType="begin"/>
      </w:r>
      <w:r>
        <w:instrText xml:space="preserve"> PAGEREF _Toc20977 \h </w:instrText>
      </w:r>
      <w:r>
        <w:fldChar w:fldCharType="separate"/>
      </w:r>
      <w:r>
        <w:t>34</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_Toc4851 </w:instrText>
      </w:r>
      <w:r>
        <w:rPr>
          <w:rFonts w:cs="Times New Roman"/>
        </w:rPr>
        <w:fldChar w:fldCharType="separate"/>
      </w:r>
      <w:r>
        <w:rPr>
          <w:rFonts w:hint="eastAsia" w:cs="Times New Roman"/>
          <w:lang w:val="en-US" w:eastAsia="zh-CN"/>
        </w:rPr>
        <w:t xml:space="preserve">4.1 </w:t>
      </w:r>
      <w:r>
        <w:rPr>
          <w:rFonts w:hint="eastAsia" w:cs="Times New Roman"/>
        </w:rPr>
        <w:t>评价区划定方法</w:t>
      </w:r>
      <w:r>
        <w:tab/>
      </w:r>
      <w:r>
        <w:fldChar w:fldCharType="begin"/>
      </w:r>
      <w:r>
        <w:instrText xml:space="preserve"> PAGEREF _Toc4851 \h </w:instrText>
      </w:r>
      <w:r>
        <w:fldChar w:fldCharType="separate"/>
      </w:r>
      <w:r>
        <w:t>34</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_Toc14107 </w:instrText>
      </w:r>
      <w:r>
        <w:rPr>
          <w:rFonts w:cs="Times New Roman"/>
        </w:rPr>
        <w:fldChar w:fldCharType="separate"/>
      </w:r>
      <w:r>
        <w:rPr>
          <w:rFonts w:hint="eastAsia" w:cs="Times New Roman"/>
          <w:lang w:val="en-US" w:eastAsia="zh-CN"/>
        </w:rPr>
        <w:t xml:space="preserve">4.2 </w:t>
      </w:r>
      <w:r>
        <w:rPr>
          <w:rFonts w:hint="eastAsia" w:cs="Times New Roman"/>
        </w:rPr>
        <w:t>评价区范围和面积</w:t>
      </w:r>
      <w:r>
        <w:tab/>
      </w:r>
      <w:r>
        <w:fldChar w:fldCharType="begin"/>
      </w:r>
      <w:r>
        <w:instrText xml:space="preserve"> PAGEREF _Toc14107 \h </w:instrText>
      </w:r>
      <w:r>
        <w:fldChar w:fldCharType="separate"/>
      </w:r>
      <w:r>
        <w:t>34</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_Toc21067 </w:instrText>
      </w:r>
      <w:r>
        <w:rPr>
          <w:rFonts w:cs="Times New Roman"/>
        </w:rPr>
        <w:fldChar w:fldCharType="separate"/>
      </w:r>
      <w:r>
        <w:rPr>
          <w:rFonts w:hint="eastAsia" w:cs="Times New Roman"/>
          <w:lang w:val="en-US" w:eastAsia="zh-CN"/>
        </w:rPr>
        <w:t xml:space="preserve">4.3 </w:t>
      </w:r>
      <w:r>
        <w:rPr>
          <w:rFonts w:hint="eastAsia" w:cs="Times New Roman"/>
        </w:rPr>
        <w:t>评价时段</w:t>
      </w:r>
      <w:r>
        <w:tab/>
      </w:r>
      <w:r>
        <w:fldChar w:fldCharType="begin"/>
      </w:r>
      <w:r>
        <w:instrText xml:space="preserve"> PAGEREF _Toc21067 \h </w:instrText>
      </w:r>
      <w:r>
        <w:fldChar w:fldCharType="separate"/>
      </w:r>
      <w:r>
        <w:t>35</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_Toc29236 </w:instrText>
      </w:r>
      <w:r>
        <w:rPr>
          <w:rFonts w:cs="Times New Roman"/>
        </w:rPr>
        <w:fldChar w:fldCharType="separate"/>
      </w:r>
      <w:r>
        <w:rPr>
          <w:rFonts w:hint="eastAsia" w:cs="Times New Roman"/>
          <w:lang w:val="en-US" w:eastAsia="zh-CN"/>
        </w:rPr>
        <w:t xml:space="preserve">4.4 </w:t>
      </w:r>
      <w:r>
        <w:rPr>
          <w:rFonts w:hint="eastAsia" w:cs="Times New Roman"/>
        </w:rPr>
        <w:t>调查评价方法</w:t>
      </w:r>
      <w:r>
        <w:tab/>
      </w:r>
      <w:r>
        <w:fldChar w:fldCharType="begin"/>
      </w:r>
      <w:r>
        <w:instrText xml:space="preserve"> PAGEREF _Toc29236 \h </w:instrText>
      </w:r>
      <w:r>
        <w:fldChar w:fldCharType="separate"/>
      </w:r>
      <w:r>
        <w:t>35</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_Toc25788 </w:instrText>
      </w:r>
      <w:r>
        <w:rPr>
          <w:rFonts w:cs="Times New Roman"/>
        </w:rPr>
        <w:fldChar w:fldCharType="separate"/>
      </w:r>
      <w:r>
        <w:rPr>
          <w:rFonts w:hint="eastAsia" w:cs="Times New Roman"/>
          <w:lang w:val="en-US" w:eastAsia="zh-CN"/>
        </w:rPr>
        <w:t xml:space="preserve">4.5 </w:t>
      </w:r>
      <w:r>
        <w:rPr>
          <w:rFonts w:hint="eastAsia" w:cs="Times New Roman"/>
        </w:rPr>
        <w:t>评价区生态及湿地现状</w:t>
      </w:r>
      <w:r>
        <w:tab/>
      </w:r>
      <w:r>
        <w:fldChar w:fldCharType="begin"/>
      </w:r>
      <w:r>
        <w:instrText xml:space="preserve"> PAGEREF _Toc25788 \h </w:instrText>
      </w:r>
      <w:r>
        <w:fldChar w:fldCharType="separate"/>
      </w:r>
      <w:r>
        <w:t>35</w:t>
      </w:r>
      <w:r>
        <w:fldChar w:fldCharType="end"/>
      </w:r>
      <w:r>
        <w:rPr>
          <w:rFonts w:cs="Times New Roman"/>
        </w:rPr>
        <w:fldChar w:fldCharType="end"/>
      </w:r>
    </w:p>
    <w:p>
      <w:pPr>
        <w:pStyle w:val="29"/>
        <w:tabs>
          <w:tab w:val="right" w:leader="dot" w:pos="8312"/>
          <w:tab w:val="clear" w:pos="8302"/>
        </w:tabs>
      </w:pPr>
      <w:r>
        <w:rPr>
          <w:rFonts w:cs="Times New Roman"/>
        </w:rPr>
        <w:fldChar w:fldCharType="begin"/>
      </w:r>
      <w:r>
        <w:rPr>
          <w:rFonts w:cs="Times New Roman"/>
        </w:rPr>
        <w:instrText xml:space="preserve"> HYPERLINK \l _Toc25166 </w:instrText>
      </w:r>
      <w:r>
        <w:rPr>
          <w:rFonts w:cs="Times New Roman"/>
        </w:rPr>
        <w:fldChar w:fldCharType="separate"/>
      </w:r>
      <w:r>
        <w:rPr>
          <w:rFonts w:hint="eastAsia" w:cs="Times New Roman"/>
          <w:lang w:val="en-US" w:eastAsia="zh-CN"/>
        </w:rPr>
        <w:t xml:space="preserve">5 </w:t>
      </w:r>
      <w:r>
        <w:rPr>
          <w:rFonts w:cs="Times New Roman"/>
        </w:rPr>
        <w:t>生态影响预测</w:t>
      </w:r>
      <w:r>
        <w:tab/>
      </w:r>
      <w:r>
        <w:fldChar w:fldCharType="begin"/>
      </w:r>
      <w:r>
        <w:instrText xml:space="preserve"> PAGEREF _Toc25166 \h </w:instrText>
      </w:r>
      <w:r>
        <w:fldChar w:fldCharType="separate"/>
      </w:r>
      <w:r>
        <w:t>47</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_Toc17996 </w:instrText>
      </w:r>
      <w:r>
        <w:rPr>
          <w:rFonts w:cs="Times New Roman"/>
        </w:rPr>
        <w:fldChar w:fldCharType="separate"/>
      </w:r>
      <w:r>
        <w:rPr>
          <w:rFonts w:hint="eastAsia" w:cs="Times New Roman"/>
          <w:lang w:val="en-US" w:eastAsia="zh-CN"/>
        </w:rPr>
        <w:t xml:space="preserve">5.1 </w:t>
      </w:r>
      <w:r>
        <w:rPr>
          <w:rFonts w:cs="Times New Roman"/>
        </w:rPr>
        <w:t>建设项目对生态环境的影响预测</w:t>
      </w:r>
      <w:r>
        <w:tab/>
      </w:r>
      <w:r>
        <w:fldChar w:fldCharType="begin"/>
      </w:r>
      <w:r>
        <w:instrText xml:space="preserve"> PAGEREF _Toc17996 \h </w:instrText>
      </w:r>
      <w:r>
        <w:fldChar w:fldCharType="separate"/>
      </w:r>
      <w:r>
        <w:t>47</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_Toc12197 </w:instrText>
      </w:r>
      <w:r>
        <w:rPr>
          <w:rFonts w:cs="Times New Roman"/>
        </w:rPr>
        <w:fldChar w:fldCharType="separate"/>
      </w:r>
      <w:r>
        <w:rPr>
          <w:rFonts w:hint="eastAsia" w:cs="Times New Roman"/>
          <w:lang w:val="en-US" w:eastAsia="zh-CN"/>
        </w:rPr>
        <w:t>5.2</w:t>
      </w:r>
      <w:r>
        <w:rPr>
          <w:rFonts w:cs="Times New Roman"/>
        </w:rPr>
        <w:t>建设项目对湿地景观的影响预测</w:t>
      </w:r>
      <w:r>
        <w:tab/>
      </w:r>
      <w:r>
        <w:fldChar w:fldCharType="begin"/>
      </w:r>
      <w:r>
        <w:instrText xml:space="preserve"> PAGEREF _Toc12197 \h </w:instrText>
      </w:r>
      <w:r>
        <w:fldChar w:fldCharType="separate"/>
      </w:r>
      <w:r>
        <w:t>53</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_Toc29006 </w:instrText>
      </w:r>
      <w:r>
        <w:rPr>
          <w:rFonts w:cs="Times New Roman"/>
        </w:rPr>
        <w:fldChar w:fldCharType="separate"/>
      </w:r>
      <w:r>
        <w:rPr>
          <w:rFonts w:hint="eastAsia" w:cs="Times New Roman"/>
          <w:lang w:val="en-US" w:eastAsia="zh-CN"/>
        </w:rPr>
        <w:t xml:space="preserve">5.3 </w:t>
      </w:r>
      <w:r>
        <w:rPr>
          <w:rFonts w:cs="Times New Roman"/>
        </w:rPr>
        <w:t>建设项目对湿地保护与可持续利用的影响预测</w:t>
      </w:r>
      <w:r>
        <w:tab/>
      </w:r>
      <w:r>
        <w:fldChar w:fldCharType="begin"/>
      </w:r>
      <w:r>
        <w:instrText xml:space="preserve"> PAGEREF _Toc29006 \h </w:instrText>
      </w:r>
      <w:r>
        <w:fldChar w:fldCharType="separate"/>
      </w:r>
      <w:r>
        <w:t>54</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_Toc14886 </w:instrText>
      </w:r>
      <w:r>
        <w:rPr>
          <w:rFonts w:cs="Times New Roman"/>
        </w:rPr>
        <w:fldChar w:fldCharType="separate"/>
      </w:r>
      <w:r>
        <w:rPr>
          <w:rFonts w:hint="eastAsia" w:cs="Times New Roman"/>
          <w:lang w:val="en-US" w:eastAsia="zh-CN"/>
        </w:rPr>
        <w:t xml:space="preserve">5.4 </w:t>
      </w:r>
      <w:r>
        <w:rPr>
          <w:rFonts w:cs="Times New Roman"/>
        </w:rPr>
        <w:t>建设项目对湿地功能效益的影响预测</w:t>
      </w:r>
      <w:r>
        <w:tab/>
      </w:r>
      <w:r>
        <w:fldChar w:fldCharType="begin"/>
      </w:r>
      <w:r>
        <w:instrText xml:space="preserve"> PAGEREF _Toc14886 \h </w:instrText>
      </w:r>
      <w:r>
        <w:fldChar w:fldCharType="separate"/>
      </w:r>
      <w:r>
        <w:t>54</w:t>
      </w:r>
      <w:r>
        <w:fldChar w:fldCharType="end"/>
      </w:r>
      <w:r>
        <w:rPr>
          <w:rFonts w:cs="Times New Roman"/>
        </w:rPr>
        <w:fldChar w:fldCharType="end"/>
      </w:r>
    </w:p>
    <w:p>
      <w:pPr>
        <w:pStyle w:val="29"/>
        <w:tabs>
          <w:tab w:val="right" w:leader="dot" w:pos="8312"/>
          <w:tab w:val="clear" w:pos="8302"/>
        </w:tabs>
      </w:pPr>
      <w:r>
        <w:rPr>
          <w:rFonts w:cs="Times New Roman"/>
        </w:rPr>
        <w:fldChar w:fldCharType="begin"/>
      </w:r>
      <w:r>
        <w:rPr>
          <w:rFonts w:cs="Times New Roman"/>
        </w:rPr>
        <w:instrText xml:space="preserve"> HYPERLINK \l _Toc24922 </w:instrText>
      </w:r>
      <w:r>
        <w:rPr>
          <w:rFonts w:cs="Times New Roman"/>
        </w:rPr>
        <w:fldChar w:fldCharType="separate"/>
      </w:r>
      <w:r>
        <w:rPr>
          <w:rFonts w:hint="eastAsia" w:cs="Times New Roman"/>
          <w:lang w:val="en-US" w:eastAsia="zh-CN"/>
        </w:rPr>
        <w:t xml:space="preserve">6 </w:t>
      </w:r>
      <w:r>
        <w:rPr>
          <w:rFonts w:cs="Times New Roman"/>
        </w:rPr>
        <w:t>生态影响消减措施建议</w:t>
      </w:r>
      <w:r>
        <w:tab/>
      </w:r>
      <w:r>
        <w:fldChar w:fldCharType="begin"/>
      </w:r>
      <w:r>
        <w:instrText xml:space="preserve"> PAGEREF _Toc24922 \h </w:instrText>
      </w:r>
      <w:r>
        <w:fldChar w:fldCharType="separate"/>
      </w:r>
      <w:r>
        <w:t>56</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_Toc9463 </w:instrText>
      </w:r>
      <w:r>
        <w:rPr>
          <w:rFonts w:cs="Times New Roman"/>
        </w:rPr>
        <w:fldChar w:fldCharType="separate"/>
      </w:r>
      <w:r>
        <w:rPr>
          <w:rFonts w:hint="eastAsia" w:cs="Times New Roman"/>
          <w:lang w:val="en-US" w:eastAsia="zh-CN"/>
        </w:rPr>
        <w:t xml:space="preserve">6.1 </w:t>
      </w:r>
      <w:r>
        <w:rPr>
          <w:rFonts w:cs="Times New Roman"/>
        </w:rPr>
        <w:t>生态环境保护减缓措施</w:t>
      </w:r>
      <w:r>
        <w:tab/>
      </w:r>
      <w:r>
        <w:fldChar w:fldCharType="begin"/>
      </w:r>
      <w:r>
        <w:instrText xml:space="preserve"> PAGEREF _Toc9463 \h </w:instrText>
      </w:r>
      <w:r>
        <w:fldChar w:fldCharType="separate"/>
      </w:r>
      <w:r>
        <w:t>56</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_Toc13093 </w:instrText>
      </w:r>
      <w:r>
        <w:rPr>
          <w:rFonts w:cs="Times New Roman"/>
        </w:rPr>
        <w:fldChar w:fldCharType="separate"/>
      </w:r>
      <w:r>
        <w:rPr>
          <w:rFonts w:hint="eastAsia" w:cs="Times New Roman"/>
          <w:lang w:val="en-US" w:eastAsia="zh-CN"/>
        </w:rPr>
        <w:t xml:space="preserve">6.2 </w:t>
      </w:r>
      <w:r>
        <w:rPr>
          <w:rFonts w:cs="Times New Roman"/>
        </w:rPr>
        <w:t>湿地景观资源减缓措施</w:t>
      </w:r>
      <w:r>
        <w:tab/>
      </w:r>
      <w:r>
        <w:fldChar w:fldCharType="begin"/>
      </w:r>
      <w:r>
        <w:instrText xml:space="preserve"> PAGEREF _Toc13093 \h </w:instrText>
      </w:r>
      <w:r>
        <w:fldChar w:fldCharType="separate"/>
      </w:r>
      <w:r>
        <w:t>61</w:t>
      </w:r>
      <w:r>
        <w:fldChar w:fldCharType="end"/>
      </w:r>
      <w:r>
        <w:rPr>
          <w:rFonts w:cs="Times New Roman"/>
        </w:rPr>
        <w:fldChar w:fldCharType="end"/>
      </w:r>
    </w:p>
    <w:p>
      <w:pPr>
        <w:pStyle w:val="35"/>
        <w:tabs>
          <w:tab w:val="right" w:leader="dot" w:pos="8312"/>
        </w:tabs>
      </w:pPr>
      <w:r>
        <w:rPr>
          <w:rFonts w:cs="Times New Roman"/>
        </w:rPr>
        <w:fldChar w:fldCharType="begin"/>
      </w:r>
      <w:r>
        <w:rPr>
          <w:rFonts w:cs="Times New Roman"/>
        </w:rPr>
        <w:instrText xml:space="preserve"> HYPERLINK \l _Toc12159 </w:instrText>
      </w:r>
      <w:r>
        <w:rPr>
          <w:rFonts w:cs="Times New Roman"/>
        </w:rPr>
        <w:fldChar w:fldCharType="separate"/>
      </w:r>
      <w:r>
        <w:rPr>
          <w:rFonts w:hint="eastAsia" w:cs="Times New Roman"/>
          <w:lang w:val="en-US" w:eastAsia="zh-CN"/>
        </w:rPr>
        <w:t xml:space="preserve">6.3 </w:t>
      </w:r>
      <w:r>
        <w:rPr>
          <w:rFonts w:cs="Times New Roman"/>
        </w:rPr>
        <w:t>湿地功能效益减缓措施</w:t>
      </w:r>
      <w:r>
        <w:tab/>
      </w:r>
      <w:r>
        <w:fldChar w:fldCharType="begin"/>
      </w:r>
      <w:r>
        <w:instrText xml:space="preserve"> PAGEREF _Toc12159 \h </w:instrText>
      </w:r>
      <w:r>
        <w:fldChar w:fldCharType="separate"/>
      </w:r>
      <w:r>
        <w:t>62</w:t>
      </w:r>
      <w:r>
        <w:fldChar w:fldCharType="end"/>
      </w:r>
      <w:r>
        <w:rPr>
          <w:rFonts w:cs="Times New Roman"/>
        </w:rPr>
        <w:fldChar w:fldCharType="end"/>
      </w:r>
    </w:p>
    <w:p>
      <w:pPr>
        <w:pStyle w:val="29"/>
        <w:tabs>
          <w:tab w:val="right" w:leader="dot" w:pos="8312"/>
          <w:tab w:val="clear" w:pos="8302"/>
        </w:tabs>
      </w:pPr>
      <w:r>
        <w:rPr>
          <w:rFonts w:cs="Times New Roman"/>
        </w:rPr>
        <w:fldChar w:fldCharType="begin"/>
      </w:r>
      <w:r>
        <w:rPr>
          <w:rFonts w:cs="Times New Roman"/>
        </w:rPr>
        <w:instrText xml:space="preserve"> HYPERLINK \l _Toc28657 </w:instrText>
      </w:r>
      <w:r>
        <w:rPr>
          <w:rFonts w:cs="Times New Roman"/>
        </w:rPr>
        <w:fldChar w:fldCharType="separate"/>
      </w:r>
      <w:r>
        <w:rPr>
          <w:rFonts w:hint="eastAsia" w:cs="Times New Roman"/>
          <w:lang w:val="en-US" w:eastAsia="zh-CN"/>
        </w:rPr>
        <w:t xml:space="preserve">7 </w:t>
      </w:r>
      <w:r>
        <w:rPr>
          <w:rFonts w:cs="Times New Roman"/>
        </w:rPr>
        <w:t>评价结论</w:t>
      </w:r>
      <w:r>
        <w:tab/>
      </w:r>
      <w:r>
        <w:fldChar w:fldCharType="begin"/>
      </w:r>
      <w:r>
        <w:instrText xml:space="preserve"> PAGEREF _Toc28657 \h </w:instrText>
      </w:r>
      <w:r>
        <w:fldChar w:fldCharType="separate"/>
      </w:r>
      <w:r>
        <w:t>64</w:t>
      </w:r>
      <w:r>
        <w:fldChar w:fldCharType="end"/>
      </w:r>
      <w:r>
        <w:rPr>
          <w:rFonts w:cs="Times New Roman"/>
        </w:rPr>
        <w:fldChar w:fldCharType="end"/>
      </w:r>
    </w:p>
    <w:p>
      <w:pPr>
        <w:spacing w:line="440" w:lineRule="exact"/>
        <w:ind w:firstLine="0" w:firstLineChars="0"/>
        <w:rPr>
          <w:rFonts w:cs="Times New Roman"/>
        </w:rPr>
      </w:pPr>
      <w:r>
        <w:rPr>
          <w:rFonts w:cs="Times New Roman"/>
        </w:rPr>
        <w:fldChar w:fldCharType="end"/>
      </w:r>
    </w:p>
    <w:p>
      <w:pPr>
        <w:keepNext w:val="0"/>
        <w:keepLines w:val="0"/>
        <w:pageBreakBefore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宋体" w:cs="Times New Roman"/>
          <w:b/>
          <w:lang w:val="en-US" w:eastAsia="zh-CN"/>
        </w:rPr>
      </w:pPr>
      <w:r>
        <w:rPr>
          <w:rFonts w:hint="eastAsia" w:ascii="Times New Roman" w:hAnsi="Times New Roman" w:eastAsia="宋体" w:cs="Times New Roman"/>
          <w:b/>
          <w:lang w:val="en-US" w:eastAsia="zh-CN"/>
        </w:rPr>
        <w:t>附 件</w:t>
      </w:r>
    </w:p>
    <w:p>
      <w:pPr>
        <w:keepNext w:val="0"/>
        <w:keepLines w:val="0"/>
        <w:pageBreakBefore w:val="0"/>
        <w:widowControl w:val="0"/>
        <w:kinsoku/>
        <w:wordWrap/>
        <w:overflowPunct/>
        <w:topLinePunct w:val="0"/>
        <w:autoSpaceDE/>
        <w:autoSpaceDN/>
        <w:bidi w:val="0"/>
        <w:adjustRightInd/>
        <w:snapToGrid/>
        <w:spacing w:line="360" w:lineRule="auto"/>
        <w:ind w:right="-333" w:rightChars="-139" w:firstLine="0" w:firstLineChars="0"/>
        <w:jc w:val="left"/>
        <w:textAlignment w:val="auto"/>
        <w:rPr>
          <w:rFonts w:hint="eastAsia" w:ascii="Times New Roman" w:hAnsi="Times New Roman" w:eastAsia="宋体" w:cs="Times New Roman"/>
        </w:rPr>
      </w:pPr>
      <w:r>
        <w:rPr>
          <w:rFonts w:hint="eastAsia" w:ascii="Times New Roman" w:hAnsi="Times New Roman" w:eastAsia="宋体" w:cs="Times New Roman"/>
          <w:lang w:val="en-US" w:eastAsia="zh-CN"/>
        </w:rPr>
        <w:t xml:space="preserve">附件1 </w:t>
      </w:r>
      <w:r>
        <w:rPr>
          <w:rFonts w:hint="eastAsia" w:ascii="Times New Roman" w:hAnsi="Times New Roman" w:eastAsia="宋体" w:cs="Times New Roman"/>
        </w:rPr>
        <w:t>评价区现场照片</w:t>
      </w:r>
    </w:p>
    <w:p>
      <w:pPr>
        <w:keepNext w:val="0"/>
        <w:keepLines w:val="0"/>
        <w:pageBreakBefore w:val="0"/>
        <w:widowControl w:val="0"/>
        <w:kinsoku/>
        <w:wordWrap/>
        <w:overflowPunct/>
        <w:topLinePunct w:val="0"/>
        <w:autoSpaceDE/>
        <w:autoSpaceDN/>
        <w:bidi w:val="0"/>
        <w:adjustRightInd/>
        <w:snapToGrid/>
        <w:spacing w:line="360" w:lineRule="auto"/>
        <w:ind w:left="720" w:right="-333" w:rightChars="-139" w:hanging="720" w:hangingChars="30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附件</w:t>
      </w:r>
      <w:r>
        <w:rPr>
          <w:rFonts w:hint="eastAsia" w:cs="Times New Roman"/>
          <w:lang w:val="en-US" w:eastAsia="zh-CN"/>
        </w:rPr>
        <w:t>2</w:t>
      </w:r>
      <w:r>
        <w:rPr>
          <w:rFonts w:hint="eastAsia" w:ascii="Times New Roman" w:hAnsi="Times New Roman" w:eastAsia="宋体" w:cs="Times New Roman"/>
          <w:lang w:val="en-US" w:eastAsia="zh-CN"/>
        </w:rPr>
        <w:t xml:space="preserve"> 阿坝县发展和改革局</w:t>
      </w:r>
      <w:r>
        <w:rPr>
          <w:rFonts w:hint="eastAsia" w:cs="Times New Roman"/>
          <w:lang w:val="en-US" w:eastAsia="zh-CN"/>
        </w:rPr>
        <w:t>《</w:t>
      </w:r>
      <w:r>
        <w:rPr>
          <w:rFonts w:hint="eastAsia" w:ascii="Times New Roman" w:hAnsi="Times New Roman" w:eastAsia="宋体" w:cs="Times New Roman"/>
          <w:lang w:val="en-US" w:eastAsia="zh-CN"/>
        </w:rPr>
        <w:t>关于阿坝县莲班路(安斗乡至罗云措沟段)美丽乡村路可行性研究报告的批复</w:t>
      </w:r>
      <w:r>
        <w:rPr>
          <w:rFonts w:hint="eastAsia" w:cs="Times New Roman"/>
          <w:lang w:val="en-US" w:eastAsia="zh-CN"/>
        </w:rPr>
        <w:t>》（阿县发改行审</w:t>
      </w:r>
      <w:r>
        <w:rPr>
          <w:rFonts w:hint="default" w:ascii="Times New Roman" w:hAnsi="Times New Roman" w:cs="Times New Roman"/>
          <w:sz w:val="21"/>
          <w:szCs w:val="20"/>
        </w:rPr>
        <w:t>〔</w:t>
      </w:r>
      <w:r>
        <w:rPr>
          <w:rFonts w:hint="eastAsia" w:cs="Times New Roman"/>
          <w:lang w:val="en-US" w:eastAsia="zh-CN"/>
        </w:rPr>
        <w:t>2022</w:t>
      </w:r>
      <w:r>
        <w:rPr>
          <w:rFonts w:hint="default" w:ascii="Times New Roman" w:hAnsi="Times New Roman" w:cs="Times New Roman"/>
          <w:sz w:val="21"/>
          <w:szCs w:val="20"/>
        </w:rPr>
        <w:t>〕</w:t>
      </w:r>
      <w:r>
        <w:rPr>
          <w:rFonts w:hint="eastAsia" w:cs="Times New Roman"/>
          <w:lang w:val="en-US" w:eastAsia="zh-CN"/>
        </w:rPr>
        <w:t>14号）</w:t>
      </w:r>
    </w:p>
    <w:p>
      <w:pPr>
        <w:keepNext w:val="0"/>
        <w:keepLines w:val="0"/>
        <w:pageBreakBefore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宋体" w:cs="Times New Roman"/>
          <w:b/>
          <w:lang w:val="en-US" w:eastAsia="zh-CN"/>
        </w:rPr>
      </w:pPr>
    </w:p>
    <w:p>
      <w:pPr>
        <w:keepNext w:val="0"/>
        <w:keepLines w:val="0"/>
        <w:pageBreakBefore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宋体" w:cs="Times New Roman"/>
          <w:b/>
          <w:lang w:val="en-US" w:eastAsia="zh-CN"/>
        </w:rPr>
      </w:pPr>
      <w:r>
        <w:rPr>
          <w:rFonts w:hint="eastAsia" w:ascii="Times New Roman" w:hAnsi="Times New Roman" w:eastAsia="宋体" w:cs="Times New Roman"/>
          <w:b/>
          <w:lang w:val="en-US" w:eastAsia="zh-CN"/>
        </w:rPr>
        <w:t>附</w:t>
      </w:r>
      <w:r>
        <w:rPr>
          <w:rFonts w:hint="eastAsia" w:cs="Times New Roman"/>
          <w:b/>
          <w:lang w:val="en-US" w:eastAsia="zh-CN"/>
        </w:rPr>
        <w:t>录</w:t>
      </w:r>
    </w:p>
    <w:p>
      <w:pPr>
        <w:keepNext w:val="0"/>
        <w:keepLines w:val="0"/>
        <w:pageBreakBefore w:val="0"/>
        <w:widowControl w:val="0"/>
        <w:kinsoku/>
        <w:wordWrap/>
        <w:overflowPunct/>
        <w:topLinePunct w:val="0"/>
        <w:autoSpaceDE/>
        <w:autoSpaceDN/>
        <w:bidi w:val="0"/>
        <w:adjustRightInd/>
        <w:snapToGrid/>
        <w:spacing w:line="360" w:lineRule="auto"/>
        <w:ind w:right="-333" w:rightChars="-139" w:firstLine="0" w:firstLineChars="0"/>
        <w:jc w:val="left"/>
        <w:textAlignment w:val="auto"/>
        <w:rPr>
          <w:rFonts w:ascii="Times New Roman" w:hAnsi="Times New Roman" w:eastAsia="宋体" w:cs="Times New Roman"/>
        </w:rPr>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_Toc21716 </w:instrText>
      </w:r>
      <w:r>
        <w:rPr>
          <w:rFonts w:ascii="Times New Roman" w:hAnsi="Times New Roman" w:eastAsia="宋体" w:cs="Times New Roman"/>
        </w:rPr>
        <w:fldChar w:fldCharType="separate"/>
      </w:r>
      <w:r>
        <w:rPr>
          <w:rFonts w:hint="eastAsia" w:ascii="Times New Roman" w:hAnsi="Times New Roman" w:eastAsia="宋体" w:cs="Times New Roman"/>
        </w:rPr>
        <w:t xml:space="preserve">附录1 </w:t>
      </w:r>
      <w:r>
        <w:rPr>
          <w:rFonts w:ascii="Times New Roman" w:hAnsi="Times New Roman" w:eastAsia="宋体" w:cs="Times New Roman"/>
        </w:rPr>
        <w:t>评价区维管植物名录</w:t>
      </w:r>
      <w:r>
        <w:rPr>
          <w:rFonts w:ascii="Times New Roman" w:hAnsi="Times New Roman" w:eastAsia="宋体" w:cs="Times New Roman"/>
        </w:rPr>
        <w:fldChar w:fldCharType="end"/>
      </w:r>
    </w:p>
    <w:p>
      <w:pPr>
        <w:keepNext w:val="0"/>
        <w:keepLines w:val="0"/>
        <w:pageBreakBefore w:val="0"/>
        <w:widowControl w:val="0"/>
        <w:kinsoku/>
        <w:wordWrap/>
        <w:overflowPunct/>
        <w:topLinePunct w:val="0"/>
        <w:autoSpaceDE/>
        <w:autoSpaceDN/>
        <w:bidi w:val="0"/>
        <w:adjustRightInd/>
        <w:snapToGrid/>
        <w:spacing w:line="360" w:lineRule="auto"/>
        <w:ind w:right="-333" w:rightChars="-139" w:firstLine="0" w:firstLineChars="0"/>
        <w:jc w:val="left"/>
        <w:textAlignment w:val="auto"/>
        <w:rPr>
          <w:rFonts w:hint="eastAsia" w:ascii="Times New Roman" w:hAnsi="Times New Roman" w:eastAsia="宋体" w:cs="Times New Roman"/>
          <w:b/>
          <w:lang w:val="en-US" w:eastAsia="zh-CN"/>
        </w:rPr>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_Toc17441 </w:instrText>
      </w:r>
      <w:r>
        <w:rPr>
          <w:rFonts w:ascii="Times New Roman" w:hAnsi="Times New Roman" w:eastAsia="宋体" w:cs="Times New Roman"/>
        </w:rPr>
        <w:fldChar w:fldCharType="separate"/>
      </w:r>
      <w:r>
        <w:rPr>
          <w:rFonts w:hint="eastAsia" w:ascii="Times New Roman" w:hAnsi="Times New Roman" w:eastAsia="宋体" w:cs="Times New Roman"/>
        </w:rPr>
        <w:t xml:space="preserve">附录2 </w:t>
      </w:r>
      <w:r>
        <w:rPr>
          <w:rFonts w:ascii="Times New Roman" w:hAnsi="Times New Roman" w:eastAsia="宋体" w:cs="Times New Roman"/>
        </w:rPr>
        <w:t>评价区野生动物名录</w:t>
      </w:r>
      <w:r>
        <w:rPr>
          <w:rFonts w:ascii="Times New Roman" w:hAnsi="Times New Roman" w:eastAsia="宋体" w:cs="Times New Roman"/>
        </w:rPr>
        <w:fldChar w:fldCharType="end"/>
      </w:r>
    </w:p>
    <w:p>
      <w:pPr>
        <w:keepNext w:val="0"/>
        <w:keepLines w:val="0"/>
        <w:pageBreakBefore w:val="0"/>
        <w:widowControl w:val="0"/>
        <w:kinsoku/>
        <w:wordWrap/>
        <w:overflowPunct/>
        <w:topLinePunct w:val="0"/>
        <w:autoSpaceDE/>
        <w:autoSpaceDN/>
        <w:bidi w:val="0"/>
        <w:adjustRightInd/>
        <w:snapToGrid/>
        <w:spacing w:line="360" w:lineRule="auto"/>
        <w:ind w:right="-333" w:rightChars="-139" w:firstLine="0" w:firstLineChars="0"/>
        <w:jc w:val="left"/>
        <w:textAlignment w:val="auto"/>
        <w:rPr>
          <w:rFonts w:hint="eastAsia" w:ascii="Times New Roman" w:hAnsi="Times New Roman" w:eastAsia="宋体" w:cs="Times New Roman"/>
          <w:lang w:val="en-US" w:eastAsia="zh-CN"/>
        </w:rPr>
      </w:pPr>
    </w:p>
    <w:p>
      <w:pPr>
        <w:keepNext w:val="0"/>
        <w:keepLines w:val="0"/>
        <w:pageBreakBefore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b/>
          <w:lang w:val="en-US" w:eastAsia="zh-CN"/>
        </w:rPr>
        <w:t>附</w:t>
      </w:r>
      <w:r>
        <w:rPr>
          <w:rFonts w:hint="eastAsia" w:cs="Times New Roman"/>
          <w:b/>
          <w:lang w:val="en-US" w:eastAsia="zh-CN"/>
        </w:rPr>
        <w:t>表</w:t>
      </w:r>
    </w:p>
    <w:p>
      <w:pPr>
        <w:keepNext w:val="0"/>
        <w:keepLines w:val="0"/>
        <w:pageBreakBefore w:val="0"/>
        <w:widowControl w:val="0"/>
        <w:kinsoku/>
        <w:wordWrap/>
        <w:overflowPunct/>
        <w:topLinePunct w:val="0"/>
        <w:autoSpaceDE/>
        <w:autoSpaceDN/>
        <w:bidi w:val="0"/>
        <w:adjustRightInd/>
        <w:snapToGrid/>
        <w:spacing w:line="360" w:lineRule="auto"/>
        <w:ind w:right="-333" w:rightChars="-139" w:firstLine="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附表 调查样线、样方表</w:t>
      </w:r>
    </w:p>
    <w:p>
      <w:pPr>
        <w:keepNext w:val="0"/>
        <w:keepLines w:val="0"/>
        <w:pageBreakBefore w:val="0"/>
        <w:kinsoku/>
        <w:wordWrap/>
        <w:overflowPunct/>
        <w:topLinePunct w:val="0"/>
        <w:autoSpaceDE/>
        <w:autoSpaceDN/>
        <w:bidi w:val="0"/>
        <w:adjustRightInd/>
        <w:snapToGrid/>
        <w:spacing w:line="360" w:lineRule="auto"/>
        <w:ind w:firstLine="0" w:firstLineChars="0"/>
        <w:jc w:val="left"/>
        <w:textAlignment w:val="auto"/>
        <w:rPr>
          <w:rFonts w:cs="Times New Roman"/>
          <w:b/>
        </w:rPr>
      </w:pPr>
    </w:p>
    <w:p>
      <w:pPr>
        <w:keepNext w:val="0"/>
        <w:keepLines w:val="0"/>
        <w:pageBreakBefore w:val="0"/>
        <w:kinsoku/>
        <w:wordWrap/>
        <w:overflowPunct/>
        <w:topLinePunct w:val="0"/>
        <w:autoSpaceDE/>
        <w:autoSpaceDN/>
        <w:bidi w:val="0"/>
        <w:adjustRightInd/>
        <w:snapToGrid/>
        <w:spacing w:line="360" w:lineRule="auto"/>
        <w:ind w:firstLine="0" w:firstLineChars="0"/>
        <w:jc w:val="left"/>
        <w:textAlignment w:val="auto"/>
        <w:rPr>
          <w:rFonts w:cs="Times New Roman"/>
          <w:b/>
        </w:rPr>
      </w:pPr>
      <w:r>
        <w:rPr>
          <w:rFonts w:cs="Times New Roman"/>
          <w:b/>
        </w:rPr>
        <w:t>附图</w:t>
      </w:r>
    </w:p>
    <w:p>
      <w:pPr>
        <w:keepNext w:val="0"/>
        <w:keepLines w:val="0"/>
        <w:pageBreakBefore w:val="0"/>
        <w:widowControl w:val="0"/>
        <w:kinsoku/>
        <w:wordWrap/>
        <w:overflowPunct/>
        <w:topLinePunct w:val="0"/>
        <w:autoSpaceDE/>
        <w:autoSpaceDN/>
        <w:bidi w:val="0"/>
        <w:adjustRightInd/>
        <w:snapToGrid/>
        <w:spacing w:line="360" w:lineRule="auto"/>
        <w:ind w:right="-333" w:rightChars="-139" w:firstLine="0" w:firstLineChars="0"/>
        <w:jc w:val="left"/>
        <w:textAlignment w:val="auto"/>
        <w:rPr>
          <w:rFonts w:cs="Times New Roman"/>
        </w:rPr>
      </w:pPr>
      <w:r>
        <w:rPr>
          <w:rFonts w:cs="Times New Roman"/>
        </w:rPr>
        <w:t xml:space="preserve">附图1 </w:t>
      </w:r>
      <w:r>
        <w:rPr>
          <w:rFonts w:hint="eastAsia" w:cs="Times New Roman"/>
        </w:rPr>
        <w:t>阿坝县莲班路（安斗乡至罗云措沟段）美丽乡村路建设</w:t>
      </w:r>
      <w:r>
        <w:rPr>
          <w:rFonts w:hint="eastAsia" w:cs="Times New Roman"/>
          <w:lang w:val="en-US" w:eastAsia="zh-CN"/>
        </w:rPr>
        <w:t>项目位置示意</w:t>
      </w:r>
      <w:r>
        <w:rPr>
          <w:rFonts w:cs="Times New Roman"/>
        </w:rPr>
        <w:t>图</w:t>
      </w:r>
    </w:p>
    <w:p>
      <w:pPr>
        <w:keepNext w:val="0"/>
        <w:keepLines w:val="0"/>
        <w:pageBreakBefore w:val="0"/>
        <w:widowControl w:val="0"/>
        <w:kinsoku/>
        <w:wordWrap/>
        <w:overflowPunct/>
        <w:topLinePunct w:val="0"/>
        <w:autoSpaceDE/>
        <w:autoSpaceDN/>
        <w:bidi w:val="0"/>
        <w:adjustRightInd/>
        <w:snapToGrid/>
        <w:spacing w:line="360" w:lineRule="auto"/>
        <w:ind w:right="-333" w:rightChars="-139" w:firstLine="0" w:firstLineChars="0"/>
        <w:jc w:val="left"/>
        <w:textAlignment w:val="auto"/>
        <w:rPr>
          <w:rFonts w:cs="Times New Roman"/>
        </w:rPr>
      </w:pPr>
      <w:r>
        <w:rPr>
          <w:rFonts w:cs="Times New Roman"/>
        </w:rPr>
        <w:t>附图</w:t>
      </w:r>
      <w:r>
        <w:rPr>
          <w:rFonts w:hint="eastAsia" w:cs="Times New Roman"/>
          <w:lang w:val="en-US" w:eastAsia="zh-CN"/>
        </w:rPr>
        <w:t>2</w:t>
      </w:r>
      <w:r>
        <w:rPr>
          <w:rFonts w:cs="Times New Roman"/>
        </w:rPr>
        <w:t xml:space="preserve"> </w:t>
      </w:r>
      <w:r>
        <w:rPr>
          <w:rFonts w:hint="eastAsia" w:cs="Times New Roman"/>
        </w:rPr>
        <w:t>阿坝县莲班路（安斗乡至罗云措沟段）美丽乡村路建设与四川阿坝莲宝叶则省级</w:t>
      </w:r>
      <w:r>
        <w:rPr>
          <w:rFonts w:cs="Times New Roman"/>
        </w:rPr>
        <w:t>湿地公园区位关系图</w:t>
      </w:r>
    </w:p>
    <w:p>
      <w:pPr>
        <w:keepNext w:val="0"/>
        <w:keepLines w:val="0"/>
        <w:pageBreakBefore w:val="0"/>
        <w:widowControl w:val="0"/>
        <w:kinsoku/>
        <w:wordWrap/>
        <w:overflowPunct/>
        <w:topLinePunct w:val="0"/>
        <w:autoSpaceDE/>
        <w:autoSpaceDN/>
        <w:bidi w:val="0"/>
        <w:adjustRightInd/>
        <w:snapToGrid/>
        <w:spacing w:line="360" w:lineRule="auto"/>
        <w:ind w:right="-333" w:rightChars="-139" w:firstLine="0" w:firstLineChars="0"/>
        <w:jc w:val="left"/>
        <w:textAlignment w:val="auto"/>
        <w:rPr>
          <w:rFonts w:cs="Times New Roman"/>
        </w:rPr>
      </w:pPr>
      <w:r>
        <w:rPr>
          <w:rFonts w:cs="Times New Roman"/>
        </w:rPr>
        <w:t>附图</w:t>
      </w:r>
      <w:r>
        <w:rPr>
          <w:rFonts w:hint="eastAsia" w:cs="Times New Roman"/>
          <w:lang w:val="en-US" w:eastAsia="zh-CN"/>
        </w:rPr>
        <w:t>3</w:t>
      </w:r>
      <w:r>
        <w:rPr>
          <w:rFonts w:cs="Times New Roman"/>
        </w:rPr>
        <w:t xml:space="preserve"> </w:t>
      </w:r>
      <w:r>
        <w:rPr>
          <w:rFonts w:hint="eastAsia" w:cs="Times New Roman"/>
        </w:rPr>
        <w:t>阿坝县莲班路（安斗乡至罗云措沟段）美丽乡村路建设与四川阿坝莲宝叶则省级</w:t>
      </w:r>
      <w:r>
        <w:rPr>
          <w:rFonts w:cs="Times New Roman"/>
        </w:rPr>
        <w:t>湿地公园功能分区关系图</w:t>
      </w:r>
    </w:p>
    <w:p>
      <w:pPr>
        <w:keepNext w:val="0"/>
        <w:keepLines w:val="0"/>
        <w:pageBreakBefore w:val="0"/>
        <w:widowControl w:val="0"/>
        <w:kinsoku/>
        <w:wordWrap/>
        <w:overflowPunct/>
        <w:topLinePunct w:val="0"/>
        <w:autoSpaceDE/>
        <w:autoSpaceDN/>
        <w:bidi w:val="0"/>
        <w:adjustRightInd/>
        <w:snapToGrid/>
        <w:spacing w:line="360" w:lineRule="auto"/>
        <w:ind w:right="-333" w:rightChars="-139" w:firstLine="0" w:firstLineChars="0"/>
        <w:jc w:val="left"/>
        <w:textAlignment w:val="auto"/>
        <w:rPr>
          <w:rFonts w:cs="Times New Roman"/>
        </w:rPr>
      </w:pPr>
      <w:r>
        <w:rPr>
          <w:rFonts w:cs="Times New Roman"/>
        </w:rPr>
        <w:t>附图</w:t>
      </w:r>
      <w:r>
        <w:rPr>
          <w:rFonts w:hint="eastAsia" w:cs="Times New Roman"/>
          <w:lang w:val="en-US" w:eastAsia="zh-CN"/>
        </w:rPr>
        <w:t>4</w:t>
      </w:r>
      <w:r>
        <w:rPr>
          <w:rFonts w:cs="Times New Roman"/>
        </w:rPr>
        <w:t xml:space="preserve"> </w:t>
      </w:r>
      <w:r>
        <w:rPr>
          <w:rFonts w:hint="eastAsia" w:cs="Times New Roman"/>
        </w:rPr>
        <w:t>阿坝县莲班路（安斗乡至罗云措沟段）美丽乡村路建设</w:t>
      </w:r>
      <w:r>
        <w:rPr>
          <w:rFonts w:cs="Times New Roman"/>
        </w:rPr>
        <w:t>在湿地公园内工程布局图</w:t>
      </w:r>
    </w:p>
    <w:p>
      <w:pPr>
        <w:keepNext w:val="0"/>
        <w:keepLines w:val="0"/>
        <w:pageBreakBefore w:val="0"/>
        <w:widowControl w:val="0"/>
        <w:kinsoku/>
        <w:wordWrap/>
        <w:overflowPunct/>
        <w:topLinePunct w:val="0"/>
        <w:autoSpaceDE/>
        <w:autoSpaceDN/>
        <w:bidi w:val="0"/>
        <w:adjustRightInd/>
        <w:snapToGrid/>
        <w:spacing w:line="360" w:lineRule="auto"/>
        <w:ind w:right="-333" w:rightChars="-139" w:firstLine="0" w:firstLineChars="0"/>
        <w:jc w:val="left"/>
        <w:textAlignment w:val="auto"/>
        <w:rPr>
          <w:rFonts w:cs="Times New Roman"/>
        </w:rPr>
      </w:pPr>
      <w:r>
        <w:rPr>
          <w:rFonts w:cs="Times New Roman"/>
        </w:rPr>
        <w:t>附图</w:t>
      </w:r>
      <w:r>
        <w:rPr>
          <w:rFonts w:hint="eastAsia" w:cs="Times New Roman"/>
          <w:lang w:val="en-US" w:eastAsia="zh-CN"/>
        </w:rPr>
        <w:t>5</w:t>
      </w:r>
      <w:r>
        <w:rPr>
          <w:rFonts w:cs="Times New Roman"/>
        </w:rPr>
        <w:t xml:space="preserve"> </w:t>
      </w:r>
      <w:r>
        <w:rPr>
          <w:rFonts w:hint="eastAsia" w:cs="Times New Roman"/>
        </w:rPr>
        <w:t>阿坝县莲班路（安斗乡至罗云措沟段）美丽乡村路建设</w:t>
      </w:r>
      <w:r>
        <w:rPr>
          <w:rFonts w:cs="Times New Roman"/>
        </w:rPr>
        <w:t>在湿地公园内工程布局卫星影像图</w:t>
      </w:r>
    </w:p>
    <w:p>
      <w:pPr>
        <w:keepNext w:val="0"/>
        <w:keepLines w:val="0"/>
        <w:pageBreakBefore w:val="0"/>
        <w:widowControl w:val="0"/>
        <w:kinsoku/>
        <w:wordWrap/>
        <w:overflowPunct/>
        <w:topLinePunct w:val="0"/>
        <w:autoSpaceDE/>
        <w:autoSpaceDN/>
        <w:bidi w:val="0"/>
        <w:adjustRightInd/>
        <w:snapToGrid/>
        <w:spacing w:line="360" w:lineRule="auto"/>
        <w:ind w:right="-333" w:rightChars="-139" w:firstLine="0" w:firstLineChars="0"/>
        <w:jc w:val="left"/>
        <w:textAlignment w:val="auto"/>
        <w:rPr>
          <w:rFonts w:cs="Times New Roman"/>
        </w:rPr>
      </w:pPr>
      <w:r>
        <w:rPr>
          <w:rFonts w:cs="Times New Roman"/>
        </w:rPr>
        <w:t>附图</w:t>
      </w:r>
      <w:r>
        <w:rPr>
          <w:rFonts w:hint="eastAsia" w:cs="Times New Roman"/>
          <w:lang w:val="en-US" w:eastAsia="zh-CN"/>
        </w:rPr>
        <w:t>6</w:t>
      </w:r>
      <w:r>
        <w:rPr>
          <w:rFonts w:cs="Times New Roman"/>
        </w:rPr>
        <w:t xml:space="preserve"> </w:t>
      </w:r>
      <w:r>
        <w:rPr>
          <w:rFonts w:hint="eastAsia" w:cs="Times New Roman"/>
        </w:rPr>
        <w:t>阿坝县莲班路（安斗乡至罗云措沟段）美丽乡村路建设</w:t>
      </w:r>
      <w:r>
        <w:rPr>
          <w:rFonts w:cs="Times New Roman"/>
        </w:rPr>
        <w:t>对湿地公园影响评价区</w:t>
      </w:r>
      <w:r>
        <w:rPr>
          <w:rFonts w:hint="eastAsia" w:cs="Times New Roman"/>
        </w:rPr>
        <w:t>湿地</w:t>
      </w:r>
      <w:r>
        <w:rPr>
          <w:rFonts w:cs="Times New Roman"/>
        </w:rPr>
        <w:t>资源现状分布图</w:t>
      </w:r>
    </w:p>
    <w:p>
      <w:pPr>
        <w:keepNext w:val="0"/>
        <w:keepLines w:val="0"/>
        <w:pageBreakBefore w:val="0"/>
        <w:widowControl w:val="0"/>
        <w:kinsoku/>
        <w:wordWrap/>
        <w:overflowPunct/>
        <w:topLinePunct w:val="0"/>
        <w:autoSpaceDE/>
        <w:autoSpaceDN/>
        <w:bidi w:val="0"/>
        <w:adjustRightInd/>
        <w:snapToGrid/>
        <w:spacing w:line="360" w:lineRule="auto"/>
        <w:ind w:right="-333" w:rightChars="-139" w:firstLine="0" w:firstLineChars="0"/>
        <w:jc w:val="left"/>
        <w:textAlignment w:val="auto"/>
        <w:rPr>
          <w:rFonts w:cs="Times New Roman"/>
        </w:rPr>
      </w:pPr>
      <w:r>
        <w:rPr>
          <w:rFonts w:hint="eastAsia" w:cs="Times New Roman"/>
        </w:rPr>
        <w:t>附图</w:t>
      </w:r>
      <w:r>
        <w:rPr>
          <w:rFonts w:hint="eastAsia" w:cs="Times New Roman"/>
          <w:lang w:val="en-US" w:eastAsia="zh-CN"/>
        </w:rPr>
        <w:t>7</w:t>
      </w:r>
      <w:r>
        <w:rPr>
          <w:rFonts w:hint="eastAsia" w:cs="Times New Roman"/>
        </w:rPr>
        <w:t xml:space="preserve"> 阿坝县莲班路（安斗乡至罗云措沟段）美丽乡村路建设对</w:t>
      </w:r>
      <w:r>
        <w:rPr>
          <w:rFonts w:cs="Times New Roman"/>
        </w:rPr>
        <w:t>湿地公园影响评价区保护动物分布图</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cs="Times New Roman"/>
        </w:rPr>
      </w:pPr>
      <w:r>
        <w:rPr>
          <w:rFonts w:hint="eastAsia" w:cs="Times New Roman"/>
        </w:rPr>
        <w:t>附图</w:t>
      </w:r>
      <w:r>
        <w:rPr>
          <w:rFonts w:hint="eastAsia" w:cs="Times New Roman"/>
          <w:lang w:val="en-US" w:eastAsia="zh-CN"/>
        </w:rPr>
        <w:t>8</w:t>
      </w:r>
      <w:r>
        <w:rPr>
          <w:rFonts w:hint="eastAsia" w:cs="Times New Roman"/>
        </w:rPr>
        <w:t xml:space="preserve"> 阿坝县莲班路（安斗乡至罗云措沟段）美丽乡村路建设对湿地公园影响评价区</w:t>
      </w:r>
      <w:r>
        <w:rPr>
          <w:rFonts w:hint="eastAsia" w:cs="Times New Roman"/>
          <w:lang w:val="en-US" w:eastAsia="zh-CN"/>
        </w:rPr>
        <w:t>调查样线、样方</w:t>
      </w:r>
      <w:r>
        <w:rPr>
          <w:rFonts w:hint="eastAsia" w:cs="Times New Roman"/>
        </w:rPr>
        <w:t>分布图</w:t>
      </w:r>
      <w:r>
        <w:rPr>
          <w:rFonts w:hint="eastAsia" w:cs="Times New Roman"/>
        </w:rPr>
        <w:br w:type="page"/>
      </w:r>
      <w:bookmarkStart w:id="38" w:name="_GoBack"/>
      <w:bookmarkEnd w:id="38"/>
    </w:p>
    <w:p>
      <w:pPr>
        <w:widowControl/>
        <w:spacing w:line="240" w:lineRule="auto"/>
        <w:ind w:firstLine="0" w:firstLineChars="0"/>
        <w:jc w:val="left"/>
        <w:rPr>
          <w:rFonts w:cs="Times New Roman"/>
        </w:rPr>
        <w:sectPr>
          <w:footerReference r:id="rId17" w:type="default"/>
          <w:pgSz w:w="11906" w:h="16838"/>
          <w:pgMar w:top="1440" w:right="1797" w:bottom="1440" w:left="1797" w:header="851" w:footer="992" w:gutter="0"/>
          <w:pgBorders>
            <w:top w:val="none" w:sz="0" w:space="0"/>
            <w:left w:val="none" w:sz="0" w:space="0"/>
            <w:bottom w:val="none" w:sz="0" w:space="0"/>
            <w:right w:val="none" w:sz="0" w:space="0"/>
          </w:pgBorders>
          <w:pgNumType w:fmt="upperRoman" w:start="1"/>
          <w:cols w:space="425" w:num="1"/>
          <w:docGrid w:type="linesAndChars" w:linePitch="326" w:charSpace="0"/>
        </w:sectPr>
      </w:pPr>
    </w:p>
    <w:p>
      <w:pPr>
        <w:pStyle w:val="2"/>
        <w:numPr>
          <w:ilvl w:val="0"/>
          <w:numId w:val="0"/>
        </w:numPr>
        <w:ind w:leftChars="0"/>
        <w:rPr>
          <w:rFonts w:cs="Times New Roman"/>
        </w:rPr>
      </w:pPr>
      <w:bookmarkStart w:id="2" w:name="_Toc31473"/>
      <w:r>
        <w:rPr>
          <w:rFonts w:hint="eastAsia" w:cs="Times New Roman"/>
          <w:lang w:val="en-US" w:eastAsia="zh-CN"/>
        </w:rPr>
        <w:t xml:space="preserve">1 </w:t>
      </w:r>
      <w:r>
        <w:rPr>
          <w:rFonts w:cs="Times New Roman"/>
        </w:rPr>
        <w:t>前言</w:t>
      </w:r>
      <w:bookmarkEnd w:id="2"/>
    </w:p>
    <w:p>
      <w:pPr>
        <w:pStyle w:val="3"/>
        <w:numPr>
          <w:ilvl w:val="1"/>
          <w:numId w:val="0"/>
        </w:numPr>
        <w:ind w:leftChars="0"/>
        <w:rPr>
          <w:rFonts w:cs="Times New Roman"/>
        </w:rPr>
      </w:pPr>
      <w:bookmarkStart w:id="3" w:name="_Toc14528"/>
      <w:r>
        <w:rPr>
          <w:rFonts w:hint="eastAsia" w:cs="Times New Roman"/>
          <w:lang w:val="en-US" w:eastAsia="zh-CN"/>
        </w:rPr>
        <w:t xml:space="preserve">1.1 </w:t>
      </w:r>
      <w:r>
        <w:rPr>
          <w:rFonts w:cs="Times New Roman"/>
        </w:rPr>
        <w:t>项目建设背景</w:t>
      </w:r>
      <w:bookmarkEnd w:id="3"/>
    </w:p>
    <w:p>
      <w:pPr>
        <w:ind w:firstLine="480"/>
        <w:rPr>
          <w:rFonts w:cs="Times New Roman"/>
        </w:rPr>
      </w:pPr>
      <w:r>
        <w:rPr>
          <w:rFonts w:cs="Times New Roman"/>
        </w:rPr>
        <w:t xml:space="preserve">阿坝县位于阿坝州西北部，介于北纬 32°18'～33°37'、东经101°18'～102°35'之间。东邻若尔盖县、红原县；南与马尔康市毗连；北面和西面分别与玛曲县、久治县、班玛县和壤塘县为界。距成都463 km，距马尔康市246 km。全县幅员面积10435 </w:t>
      </w:r>
      <w:r>
        <w:rPr>
          <w:rFonts w:hint="eastAsia" w:cs="Times New Roman"/>
        </w:rPr>
        <w:t>km</w:t>
      </w:r>
      <w:r>
        <w:rPr>
          <w:rFonts w:cs="Times New Roman"/>
          <w:vertAlign w:val="superscript"/>
        </w:rPr>
        <w:t>2</w:t>
      </w:r>
      <w:r>
        <w:rPr>
          <w:rFonts w:cs="Times New Roman"/>
        </w:rPr>
        <w:t>，辖9乡6镇80个行政村1个社区，总人口8.04</w:t>
      </w:r>
      <w:r>
        <w:rPr>
          <w:rFonts w:hint="eastAsia" w:cs="Times New Roman"/>
          <w:lang w:val="en-US" w:eastAsia="zh-CN"/>
        </w:rPr>
        <w:t>万</w:t>
      </w:r>
      <w:r>
        <w:rPr>
          <w:rFonts w:cs="Times New Roman"/>
        </w:rPr>
        <w:t>人，其中，农村人口55704，占总人口的69.23%，城镇人口24763人，占总人口的30.77%。全县藏族人口77494人，占总人口的96.3%，是一个以藏族为主的少数民族聚居县。</w:t>
      </w:r>
    </w:p>
    <w:p>
      <w:pPr>
        <w:ind w:firstLine="480"/>
        <w:rPr>
          <w:rFonts w:cs="Times New Roman"/>
        </w:rPr>
      </w:pPr>
      <w:r>
        <w:rPr>
          <w:rFonts w:cs="Times New Roman"/>
        </w:rPr>
        <w:t>莲宝叶则旅游区地处青川滇甘旅游经济黄金圈核心区域，位于川、青相连的核心节点，是莲宝叶则旅游区山的重要组成。西、北与青藏线国际旅游精品线和青藏高原新兴旅游目的地——果洛相邻，东与“大九寨一甘南香巴拉一丝绸之路”黄金旅游线路相联系，向南则与川藏线、康巴文化旅游区、“藏羌文化走廊”相呼应，具有优越的地理区位条件。根据《阿坝县旅游发展总体规划》，在阿坝县“一核、两带、四廊、四区”的旅游总体格局中，莲宝叶则旅游区是阿坝县四大特色旅游区之一，也是“大莲宝叫恻川青旅游环线”上的核心。</w:t>
      </w:r>
    </w:p>
    <w:p>
      <w:pPr>
        <w:ind w:firstLine="480"/>
        <w:rPr>
          <w:rFonts w:cs="Times New Roman"/>
        </w:rPr>
      </w:pPr>
      <w:r>
        <w:rPr>
          <w:rFonts w:cs="Times New Roman"/>
        </w:rPr>
        <w:t>国家文旅部、国务院扶贫办与2018年1月23日印发《关于支持深度贫困地区旅游扶贫行动方案》，聚焦深度贫困地区，从旅游扶贫规划攻坚、旅游基础设施提升、旅游扶贫精品开发、旅游扶贫宣传推广、旅游扶贫人才培训、旅游扶贫示范创建等六个方面，切实加大深度贫困地区的旅游扶贫支持力度。</w:t>
      </w:r>
    </w:p>
    <w:p>
      <w:pPr>
        <w:ind w:firstLine="480"/>
        <w:rPr>
          <w:rFonts w:cs="Times New Roman"/>
        </w:rPr>
      </w:pPr>
      <w:r>
        <w:rPr>
          <w:rFonts w:cs="Times New Roman"/>
        </w:rPr>
        <w:t>目前景区旅游以穿越、登山为主要内容的户外体育旅游</w:t>
      </w:r>
      <w:r>
        <w:rPr>
          <w:rFonts w:hint="eastAsia" w:cs="Times New Roman"/>
          <w:lang w:eastAsia="zh-CN"/>
        </w:rPr>
        <w:t>，</w:t>
      </w:r>
      <w:r>
        <w:rPr>
          <w:rFonts w:cs="Times New Roman"/>
        </w:rPr>
        <w:t>以及以高原海子为依托的观光旅游，2017年接待游客5806人次，2018年接待游客9818人次，2019年接待游客36721人次，游客数量与日俱增，交通压力逐步增大，公路交通问题亟待解决。</w:t>
      </w:r>
    </w:p>
    <w:p>
      <w:pPr>
        <w:ind w:firstLine="480"/>
        <w:rPr>
          <w:rFonts w:cs="Times New Roman"/>
        </w:rPr>
      </w:pPr>
      <w:r>
        <w:rPr>
          <w:rFonts w:cs="Times New Roman"/>
        </w:rPr>
        <w:t>阿坝县莲班路（安斗乡至罗云措沟段）美丽乡村路现有</w:t>
      </w:r>
      <w:r>
        <w:rPr>
          <w:rFonts w:hint="eastAsia" w:cs="Times New Roman"/>
          <w:lang w:val="en-US" w:eastAsia="zh-CN"/>
        </w:rPr>
        <w:t>道路土路</w:t>
      </w:r>
      <w:r>
        <w:rPr>
          <w:rFonts w:cs="Times New Roman"/>
        </w:rPr>
        <w:t>已建成多年，包含阿莲路（即莲宝叶则公路安斗乡至莲宝叶则公路珠姆措沟路口段）、珠姆措</w:t>
      </w:r>
      <w:r>
        <w:rPr>
          <w:rFonts w:hint="eastAsia" w:cs="Times New Roman"/>
          <w:lang w:val="en-US" w:eastAsia="zh-CN"/>
        </w:rPr>
        <w:t>路</w:t>
      </w:r>
      <w:r>
        <w:rPr>
          <w:rFonts w:cs="Times New Roman"/>
        </w:rPr>
        <w:t>两条道路</w:t>
      </w:r>
      <w:r>
        <w:rPr>
          <w:rFonts w:hint="eastAsia" w:cs="Times New Roman"/>
          <w:highlight w:val="none"/>
          <w:lang w:eastAsia="zh-CN"/>
        </w:rPr>
        <w:t>，</w:t>
      </w:r>
      <w:r>
        <w:rPr>
          <w:rFonts w:hint="eastAsia" w:cs="Times New Roman"/>
          <w:highlight w:val="none"/>
          <w:lang w:val="en-US" w:eastAsia="zh-CN"/>
        </w:rPr>
        <w:t>全长43.673 km</w:t>
      </w:r>
      <w:r>
        <w:rPr>
          <w:rFonts w:hint="eastAsia" w:cs="Times New Roman"/>
          <w:highlight w:val="none"/>
          <w:lang w:eastAsia="zh-CN"/>
        </w:rPr>
        <w:t>（</w:t>
      </w:r>
      <w:r>
        <w:rPr>
          <w:rFonts w:hint="eastAsia" w:cs="Times New Roman"/>
          <w:highlight w:val="none"/>
          <w:lang w:val="en-US" w:eastAsia="zh-CN"/>
        </w:rPr>
        <w:t>阿莲路长33.599 km，</w:t>
      </w:r>
      <w:r>
        <w:rPr>
          <w:rFonts w:cs="Times New Roman"/>
          <w:highlight w:val="none"/>
        </w:rPr>
        <w:t>珠姆措</w:t>
      </w:r>
      <w:r>
        <w:rPr>
          <w:rFonts w:hint="eastAsia" w:cs="Times New Roman"/>
          <w:highlight w:val="none"/>
          <w:lang w:val="en-US" w:eastAsia="zh-CN"/>
        </w:rPr>
        <w:t>路长10.074 km</w:t>
      </w:r>
      <w:r>
        <w:rPr>
          <w:rFonts w:hint="eastAsia" w:cs="Times New Roman"/>
          <w:highlight w:val="none"/>
          <w:lang w:eastAsia="zh-CN"/>
        </w:rPr>
        <w:t>）</w:t>
      </w:r>
      <w:r>
        <w:rPr>
          <w:rFonts w:hint="eastAsia" w:cs="Times New Roman"/>
          <w:highlight w:val="none"/>
          <w:lang w:val="en-US" w:eastAsia="zh-CN"/>
        </w:rPr>
        <w:t>。</w:t>
      </w:r>
      <w:r>
        <w:rPr>
          <w:rFonts w:cs="Times New Roman"/>
          <w:highlight w:val="none"/>
        </w:rPr>
        <w:t>阿莲路</w:t>
      </w:r>
      <w:r>
        <w:rPr>
          <w:rFonts w:hint="eastAsia" w:cs="Times New Roman"/>
          <w:highlight w:val="none"/>
          <w:lang w:val="en-US" w:eastAsia="zh-CN"/>
        </w:rPr>
        <w:t>和</w:t>
      </w:r>
      <w:r>
        <w:rPr>
          <w:rFonts w:cs="Times New Roman"/>
          <w:highlight w:val="none"/>
        </w:rPr>
        <w:t>珠姆措公路</w:t>
      </w:r>
      <w:r>
        <w:rPr>
          <w:rFonts w:hint="eastAsia" w:cs="Times New Roman"/>
          <w:highlight w:val="none"/>
          <w:lang w:val="en-US" w:eastAsia="zh-CN"/>
        </w:rPr>
        <w:t>部分路段</w:t>
      </w:r>
      <w:r>
        <w:rPr>
          <w:rFonts w:cs="Times New Roman"/>
          <w:highlight w:val="none"/>
        </w:rPr>
        <w:t>位于莲宝叶则省级湿地公园中，长</w:t>
      </w:r>
      <w:r>
        <w:rPr>
          <w:rFonts w:hint="eastAsia" w:cs="Times New Roman"/>
          <w:highlight w:val="none"/>
          <w:lang w:val="en-US" w:eastAsia="zh-CN"/>
        </w:rPr>
        <w:t>10.900</w:t>
      </w:r>
      <w:r>
        <w:rPr>
          <w:rFonts w:cs="Times New Roman"/>
          <w:highlight w:val="none"/>
        </w:rPr>
        <w:t xml:space="preserve"> </w:t>
      </w:r>
      <w:r>
        <w:rPr>
          <w:rFonts w:hint="eastAsia" w:cs="Times New Roman"/>
          <w:highlight w:val="none"/>
          <w:lang w:val="en-US" w:eastAsia="zh-CN"/>
        </w:rPr>
        <w:t>k</w:t>
      </w:r>
      <w:r>
        <w:rPr>
          <w:rFonts w:cs="Times New Roman"/>
          <w:highlight w:val="none"/>
        </w:rPr>
        <w:t>m</w:t>
      </w:r>
      <w:r>
        <w:rPr>
          <w:rFonts w:hint="eastAsia" w:cs="Times New Roman"/>
          <w:highlight w:val="none"/>
          <w:lang w:eastAsia="zh-CN"/>
        </w:rPr>
        <w:t>（</w:t>
      </w:r>
      <w:r>
        <w:rPr>
          <w:rFonts w:hint="eastAsia" w:cs="Times New Roman"/>
          <w:highlight w:val="none"/>
          <w:lang w:val="en-US" w:eastAsia="zh-CN"/>
        </w:rPr>
        <w:t>其中阿莲路段0.826 km，</w:t>
      </w:r>
      <w:r>
        <w:rPr>
          <w:rFonts w:cs="Times New Roman"/>
          <w:highlight w:val="none"/>
        </w:rPr>
        <w:t>珠姆措</w:t>
      </w:r>
      <w:r>
        <w:rPr>
          <w:rFonts w:hint="eastAsia" w:cs="Times New Roman"/>
          <w:highlight w:val="none"/>
          <w:lang w:val="en-US" w:eastAsia="zh-CN"/>
        </w:rPr>
        <w:t>段10.074 km</w:t>
      </w:r>
      <w:r>
        <w:rPr>
          <w:rFonts w:hint="eastAsia" w:cs="Times New Roman"/>
          <w:highlight w:val="none"/>
          <w:lang w:eastAsia="zh-CN"/>
        </w:rPr>
        <w:t>）</w:t>
      </w:r>
      <w:r>
        <w:rPr>
          <w:rFonts w:cs="Times New Roman"/>
          <w:highlight w:val="none"/>
        </w:rPr>
        <w:t>。</w:t>
      </w:r>
    </w:p>
    <w:p>
      <w:pPr>
        <w:ind w:firstLine="480"/>
        <w:rPr>
          <w:rFonts w:cs="Times New Roman"/>
        </w:rPr>
      </w:pPr>
      <w:r>
        <w:rPr>
          <w:rFonts w:hint="eastAsia" w:cs="Times New Roman"/>
        </w:rPr>
        <w:t>阿莲路为2014年建成通车，按四级公路进行建设，设计速度20</w:t>
      </w:r>
      <w:r>
        <w:rPr>
          <w:rFonts w:hint="eastAsia" w:cs="Times New Roman"/>
          <w:lang w:val="en-US" w:eastAsia="zh-CN"/>
        </w:rPr>
        <w:t xml:space="preserve"> </w:t>
      </w:r>
      <w:r>
        <w:rPr>
          <w:rFonts w:hint="eastAsia" w:cs="Times New Roman"/>
        </w:rPr>
        <w:t>km/h，路基宽度6.5</w:t>
      </w:r>
      <w:r>
        <w:rPr>
          <w:rFonts w:hint="eastAsia" w:cs="Times New Roman"/>
          <w:lang w:val="en-US" w:eastAsia="zh-CN"/>
        </w:rPr>
        <w:t xml:space="preserve"> </w:t>
      </w:r>
      <w:r>
        <w:rPr>
          <w:rFonts w:hint="eastAsia" w:cs="Times New Roman"/>
        </w:rPr>
        <w:t>m，沥青混凝土路面设计使用年限为6年，道路沿线多处边坡崩塌、涵洞淤积、边沟排水不畅。</w:t>
      </w:r>
      <w:r>
        <w:rPr>
          <w:rFonts w:cs="Times New Roman"/>
        </w:rPr>
        <w:t>珠姆措道路</w:t>
      </w:r>
      <w:r>
        <w:rPr>
          <w:rFonts w:hint="eastAsia" w:cs="Times New Roman"/>
          <w:lang w:val="en-US" w:eastAsia="zh-CN"/>
        </w:rPr>
        <w:t>土路</w:t>
      </w:r>
      <w:r>
        <w:rPr>
          <w:rFonts w:cs="Times New Roman"/>
        </w:rPr>
        <w:t>于2007年建成，道路路面形式为碎石土路（含砾石），</w:t>
      </w:r>
      <w:r>
        <w:rPr>
          <w:rFonts w:hint="eastAsia" w:cs="Times New Roman"/>
        </w:rPr>
        <w:t>由于资金</w:t>
      </w:r>
      <w:r>
        <w:rPr>
          <w:rFonts w:hint="eastAsia" w:cs="Times New Roman"/>
          <w:lang w:eastAsia="zh-CN"/>
        </w:rPr>
        <w:t>等</w:t>
      </w:r>
      <w:r>
        <w:rPr>
          <w:rFonts w:hint="eastAsia" w:cs="Times New Roman"/>
        </w:rPr>
        <w:t>原因，</w:t>
      </w:r>
      <w:r>
        <w:rPr>
          <w:rFonts w:hint="eastAsia" w:cs="Times New Roman"/>
          <w:lang w:val="en-US" w:eastAsia="zh-CN"/>
        </w:rPr>
        <w:t>路基完工后</w:t>
      </w:r>
      <w:r>
        <w:rPr>
          <w:rFonts w:hint="eastAsia" w:cs="Times New Roman"/>
        </w:rPr>
        <w:t>工程暂停，现作为一个新项目</w:t>
      </w:r>
      <w:r>
        <w:rPr>
          <w:rFonts w:hint="eastAsia" w:cs="Times New Roman"/>
          <w:lang w:val="en-US" w:eastAsia="zh-CN"/>
        </w:rPr>
        <w:t>建设</w:t>
      </w:r>
      <w:r>
        <w:rPr>
          <w:rFonts w:hint="eastAsia" w:cs="Times New Roman"/>
          <w:lang w:eastAsia="zh-CN"/>
        </w:rPr>
        <w:t>。</w:t>
      </w:r>
      <w:r>
        <w:rPr>
          <w:rFonts w:cs="Times New Roman"/>
        </w:rPr>
        <w:t>既有道路宽度6.0 m～6.5 m不等，道路出现多出水毁，雨天泥泞，通行条件差。</w:t>
      </w:r>
    </w:p>
    <w:p>
      <w:pPr>
        <w:ind w:firstLine="480"/>
        <w:rPr>
          <w:rFonts w:cs="Times New Roman"/>
        </w:rPr>
      </w:pPr>
      <w:r>
        <w:rPr>
          <w:rFonts w:hint="eastAsia" w:cs="Times New Roman"/>
        </w:rPr>
        <w:t>阿莲路和珠姆措</w:t>
      </w:r>
      <w:r>
        <w:rPr>
          <w:rFonts w:hint="eastAsia" w:cs="Times New Roman"/>
          <w:lang w:val="en-US" w:eastAsia="zh-CN"/>
        </w:rPr>
        <w:t>路</w:t>
      </w:r>
      <w:r>
        <w:rPr>
          <w:rFonts w:cs="Times New Roman"/>
        </w:rPr>
        <w:t>既有碎石土路路面现状，道路通行条件受天气影响较大，尤其是在雨季，常常受降雨影响道路基本属于无法通行的状态。另外，因道路所处区域为高寒山区，受雨雪冰冻影响，道路通行能力也较低。</w:t>
      </w:r>
    </w:p>
    <w:p>
      <w:pPr>
        <w:ind w:firstLine="480"/>
        <w:rPr>
          <w:rFonts w:cs="Times New Roman"/>
        </w:rPr>
      </w:pPr>
      <w:r>
        <w:rPr>
          <w:rFonts w:cs="Times New Roman"/>
        </w:rPr>
        <w:t>阿坝县莲班路（安斗乡至罗云措沟段）美丽乡村路为莲宝叶则景区开发升级奠定基础，推进幸福美丽乡村建设，助力当地农牧民群众积极投入到旅游产业的发展中，以实现更好的增收致富。</w:t>
      </w:r>
    </w:p>
    <w:p>
      <w:pPr>
        <w:pStyle w:val="3"/>
        <w:numPr>
          <w:ilvl w:val="1"/>
          <w:numId w:val="0"/>
        </w:numPr>
        <w:ind w:leftChars="0"/>
        <w:rPr>
          <w:rFonts w:cs="Times New Roman"/>
        </w:rPr>
      </w:pPr>
      <w:bookmarkStart w:id="4" w:name="_Toc19019"/>
      <w:r>
        <w:rPr>
          <w:rFonts w:hint="eastAsia" w:cs="Times New Roman"/>
          <w:lang w:val="en-US" w:eastAsia="zh-CN"/>
        </w:rPr>
        <w:t xml:space="preserve">1.2 </w:t>
      </w:r>
      <w:r>
        <w:rPr>
          <w:rFonts w:cs="Times New Roman"/>
        </w:rPr>
        <w:t>建设的必要性</w:t>
      </w:r>
      <w:bookmarkEnd w:id="4"/>
    </w:p>
    <w:p>
      <w:pPr>
        <w:ind w:firstLine="480"/>
        <w:rPr>
          <w:rFonts w:cs="Times New Roman"/>
        </w:rPr>
      </w:pPr>
      <w:r>
        <w:rPr>
          <w:rFonts w:hint="eastAsia" w:cs="Times New Roman"/>
          <w:szCs w:val="20"/>
        </w:rPr>
        <w:t>本项目是莲宝叶则景区内重要交通的通道，项目的实施有助于进一步完善景区内交通布局，提升路网服务水平；有利于促进项目区的旅游、文化资源的进一步开发；这对于阿坝县打造县域知名旅游目的地，推进县域经济的发展，改善项目区民生具有重要的意义。</w:t>
      </w:r>
      <w:r>
        <w:rPr>
          <w:rFonts w:cs="Times New Roman"/>
        </w:rPr>
        <w:t>道路技术标准较低、线性指标较差、路基宽度较窄，交通安全设施缺乏</w:t>
      </w:r>
      <w:r>
        <w:rPr>
          <w:rFonts w:hint="eastAsia" w:cs="Times New Roman"/>
        </w:rPr>
        <w:t>，</w:t>
      </w:r>
      <w:r>
        <w:rPr>
          <w:rFonts w:cs="Times New Roman"/>
        </w:rPr>
        <w:t>严重影响当地人民出行安全并阻碍当地经济发展</w:t>
      </w:r>
      <w:r>
        <w:rPr>
          <w:rFonts w:hint="eastAsia" w:cs="Times New Roman"/>
        </w:rPr>
        <w:t>。因此，对原有道路进行改建升级势在必行。</w:t>
      </w:r>
    </w:p>
    <w:p>
      <w:pPr>
        <w:ind w:firstLine="482"/>
        <w:rPr>
          <w:rFonts w:cs="Times New Roman"/>
          <w:b/>
          <w:szCs w:val="20"/>
        </w:rPr>
      </w:pPr>
      <w:r>
        <w:rPr>
          <w:rFonts w:hint="eastAsia" w:cs="Times New Roman"/>
          <w:b/>
          <w:szCs w:val="20"/>
        </w:rPr>
        <w:t>1、本项目的建设是对《阿坝县“十四五”综合交通发展规划（2021-2025）》的具体体现，是进一步完善项目区公路网、提高公路服务水平、改善地区公路运输条件的需要</w:t>
      </w:r>
    </w:p>
    <w:p>
      <w:pPr>
        <w:ind w:firstLine="480"/>
        <w:rPr>
          <w:rFonts w:cs="Times New Roman"/>
          <w:szCs w:val="20"/>
        </w:rPr>
      </w:pPr>
      <w:r>
        <w:rPr>
          <w:rFonts w:hint="eastAsia" w:cs="Times New Roman"/>
          <w:szCs w:val="20"/>
        </w:rPr>
        <w:t>“十四五”是我省全面建设交通强省的第一个五年，全省交通运输系统要牢牢把握成渝地区双城经济圈建设加快成势、“一干多支”战略深入实施等重大战略交汇叠加的历史机遇，在“双循环”新格局下，准确把握实际发展需求，确保“十四五”我省交通运输发展质量效益显著提升，设施规模、服务水平、创新能力、治理能力迈上新台阶，区域协调和开放合作达到新高度。</w:t>
      </w:r>
    </w:p>
    <w:p>
      <w:pPr>
        <w:ind w:firstLine="480"/>
        <w:rPr>
          <w:rFonts w:cs="Times New Roman"/>
          <w:szCs w:val="20"/>
        </w:rPr>
      </w:pPr>
      <w:r>
        <w:rPr>
          <w:rFonts w:hint="eastAsia" w:cs="Times New Roman"/>
          <w:szCs w:val="20"/>
        </w:rPr>
        <w:t>《阿坝州阿坝县“十四五”综合交通发展规划（2021-2025）》在“十三五”交通综合规划的基础上延伸“六纵十四横”，打通断头路，在阿坝县境内形成完善的交通体系，提升区域间的通行能力，为高质量提升全面小康打下基础，本次规划县道总里程为270.372</w:t>
      </w:r>
      <w:r>
        <w:rPr>
          <w:rFonts w:cs="Times New Roman"/>
          <w:szCs w:val="20"/>
        </w:rPr>
        <w:t xml:space="preserve"> </w:t>
      </w:r>
      <w:r>
        <w:rPr>
          <w:rFonts w:hint="eastAsia" w:cs="Times New Roman"/>
          <w:szCs w:val="20"/>
        </w:rPr>
        <w:t>km，以四级公路为主，计划总投资81000万元。乡道提升改造项目共计34个</w:t>
      </w:r>
      <w:r>
        <w:rPr>
          <w:rFonts w:hint="eastAsia" w:cs="Times New Roman"/>
          <w:szCs w:val="20"/>
          <w:lang w:eastAsia="zh-CN"/>
        </w:rPr>
        <w:t>，</w:t>
      </w:r>
      <w:r>
        <w:rPr>
          <w:rFonts w:hint="eastAsia" w:cs="Times New Roman"/>
          <w:szCs w:val="20"/>
        </w:rPr>
        <w:t>线路全长692</w:t>
      </w:r>
      <w:r>
        <w:rPr>
          <w:rFonts w:cs="Times New Roman"/>
          <w:szCs w:val="20"/>
        </w:rPr>
        <w:t xml:space="preserve"> </w:t>
      </w:r>
      <w:r>
        <w:rPr>
          <w:rFonts w:hint="eastAsia" w:cs="Times New Roman"/>
          <w:szCs w:val="20"/>
        </w:rPr>
        <w:t>km</w:t>
      </w:r>
      <w:r>
        <w:rPr>
          <w:rFonts w:hint="eastAsia" w:cs="Times New Roman"/>
          <w:szCs w:val="20"/>
          <w:lang w:eastAsia="zh-CN"/>
        </w:rPr>
        <w:t>，</w:t>
      </w:r>
      <w:r>
        <w:rPr>
          <w:rFonts w:hint="eastAsia" w:cs="Times New Roman"/>
          <w:szCs w:val="20"/>
        </w:rPr>
        <w:t>以四级公路为主</w:t>
      </w:r>
      <w:r>
        <w:rPr>
          <w:rFonts w:hint="eastAsia" w:cs="Times New Roman"/>
          <w:szCs w:val="20"/>
          <w:lang w:eastAsia="zh-CN"/>
        </w:rPr>
        <w:t>，</w:t>
      </w:r>
      <w:r>
        <w:rPr>
          <w:rFonts w:hint="eastAsia" w:cs="Times New Roman"/>
          <w:szCs w:val="20"/>
        </w:rPr>
        <w:t>计划投资138400万元。</w:t>
      </w:r>
    </w:p>
    <w:p>
      <w:pPr>
        <w:ind w:firstLine="480"/>
        <w:rPr>
          <w:rFonts w:cs="Times New Roman"/>
          <w:szCs w:val="20"/>
        </w:rPr>
      </w:pPr>
      <w:r>
        <w:rPr>
          <w:rFonts w:hint="eastAsia" w:cs="Times New Roman"/>
          <w:szCs w:val="20"/>
        </w:rPr>
        <w:t>规划指出，公路网建设是一个循序渐进的过程，阿坝县近期、中期公路建设将补充完善整个公路网结构，建设项目较多，远期将以提等升级为主，因此考虑到阿坝县各时期公路建设需求，将阿坝县近期、中期公路网总规模预测值定为</w:t>
      </w:r>
      <w:r>
        <w:rPr>
          <w:rFonts w:hint="eastAsia" w:cs="Times New Roman"/>
          <w:szCs w:val="20"/>
          <w:lang w:eastAsia="zh-CN"/>
        </w:rPr>
        <w:t>：</w:t>
      </w:r>
      <w:r>
        <w:rPr>
          <w:rFonts w:hint="eastAsia" w:cs="Times New Roman"/>
          <w:szCs w:val="20"/>
        </w:rPr>
        <w:t>预测2023年阿坝县公路网规模为1348</w:t>
      </w:r>
      <w:r>
        <w:rPr>
          <w:rFonts w:cs="Times New Roman"/>
          <w:szCs w:val="20"/>
        </w:rPr>
        <w:t xml:space="preserve"> </w:t>
      </w:r>
      <w:r>
        <w:rPr>
          <w:rFonts w:hint="eastAsia" w:cs="Times New Roman"/>
          <w:szCs w:val="20"/>
        </w:rPr>
        <w:t>km，2025年阿坝县公路网规模为1630</w:t>
      </w:r>
      <w:r>
        <w:rPr>
          <w:rFonts w:cs="Times New Roman"/>
          <w:szCs w:val="20"/>
        </w:rPr>
        <w:t xml:space="preserve"> </w:t>
      </w:r>
      <w:r>
        <w:rPr>
          <w:rFonts w:hint="eastAsia" w:cs="Times New Roman"/>
          <w:szCs w:val="20"/>
        </w:rPr>
        <w:t>km。</w:t>
      </w:r>
    </w:p>
    <w:p>
      <w:pPr>
        <w:ind w:firstLine="480"/>
        <w:rPr>
          <w:rFonts w:cs="Times New Roman"/>
          <w:szCs w:val="20"/>
        </w:rPr>
      </w:pPr>
      <w:r>
        <w:rPr>
          <w:rFonts w:hint="eastAsia" w:cs="Times New Roman"/>
          <w:szCs w:val="20"/>
        </w:rPr>
        <w:t>《阿坝县莲班路（安斗乡至罗云措沟段）美丽乡村路》的实施，符合《阿坝州阿坝县“十四五”综合交通发展规划（2021-2025）》的要求，是对规划的具体体现，有利于保证规划目标能够顺利完成实施。</w:t>
      </w:r>
    </w:p>
    <w:p>
      <w:pPr>
        <w:ind w:firstLine="482"/>
        <w:rPr>
          <w:rFonts w:cs="Times New Roman"/>
          <w:b/>
          <w:szCs w:val="20"/>
        </w:rPr>
      </w:pPr>
      <w:r>
        <w:rPr>
          <w:rFonts w:hint="eastAsia" w:cs="Times New Roman"/>
          <w:b/>
          <w:szCs w:val="20"/>
        </w:rPr>
        <w:t>2、本项目的建设是加快沿线旅游资源开发，促进县域旅游经济协调发展的需要</w:t>
      </w:r>
    </w:p>
    <w:p>
      <w:pPr>
        <w:ind w:firstLine="480"/>
        <w:rPr>
          <w:rFonts w:cs="Times New Roman"/>
        </w:rPr>
      </w:pPr>
      <w:r>
        <w:rPr>
          <w:rFonts w:hint="eastAsia" w:cs="Times New Roman"/>
        </w:rPr>
        <w:t>阿坝县有着丰富的自然、民族、文化旅游资源，但阿坝县地域广阔，旅游资源的分布也较为分散，这种情况就必然存在在交通条件制约的地方，常常难以实现资源的整合和项目景区特色产业的打造；自然就导致了旅游项目难以实现较好的经济、社会和环境效益。目前本项目所在的“珠姆措”景区正是面临这种现状。珠姆措景区虽位于莲宝叶则大景区范围内，但由于现有交通仍为碎石路，且道路通行能力较低，这导致珠姆措景区开发受限，从一定程度上降低了莲宝叶则风景区的整体效果。由于交通道路的不畅，这也导致对莲宝叶则大景区范围各景点的横向联系较小，导致旅游资源缺乏较好的协调，旅游路线显得较为单调。</w:t>
      </w:r>
    </w:p>
    <w:p>
      <w:pPr>
        <w:ind w:firstLine="480"/>
        <w:rPr>
          <w:rFonts w:cs="Times New Roman"/>
        </w:rPr>
      </w:pPr>
      <w:r>
        <w:rPr>
          <w:rFonts w:hint="eastAsia" w:cs="Times New Roman"/>
        </w:rPr>
        <w:t>本项目的实施，将能够为当地旅游项目提供良好的交通条件，使出行不再成为制约旅游业发展的瓶颈，有助于整合区域内旅游资源，通过良好的规划促进各个景点的客流吸引，有利于项目沿线区域承接来自经济发达地区的经济辐射，为实现阿坝县旅游经济的协调发展奠定坚实的基础。</w:t>
      </w:r>
    </w:p>
    <w:p>
      <w:pPr>
        <w:ind w:firstLine="482"/>
        <w:rPr>
          <w:rFonts w:cs="Times New Roman"/>
          <w:b/>
        </w:rPr>
      </w:pPr>
      <w:r>
        <w:rPr>
          <w:rFonts w:hint="eastAsia" w:cs="Times New Roman"/>
          <w:b/>
        </w:rPr>
        <w:t>3、本项目的建设是促进阿坝县社会经济协调发展、提高少数民族地区生活水平、促进藏区民族团结的需要</w:t>
      </w:r>
    </w:p>
    <w:p>
      <w:pPr>
        <w:ind w:firstLine="480"/>
        <w:rPr>
          <w:rFonts w:cs="Times New Roman"/>
        </w:rPr>
      </w:pPr>
      <w:r>
        <w:rPr>
          <w:rFonts w:hint="eastAsia" w:cs="Times New Roman"/>
        </w:rPr>
        <w:t>阿坝县区域地形地质条件复杂，人口资源环境矛盾突出，经济发展滞后，社会教育程度低；基础设施薄弱，基本公共服务严重不足。</w:t>
      </w:r>
    </w:p>
    <w:p>
      <w:pPr>
        <w:ind w:firstLine="480"/>
        <w:rPr>
          <w:rFonts w:cs="Times New Roman"/>
        </w:rPr>
      </w:pPr>
      <w:r>
        <w:rPr>
          <w:rFonts w:hint="eastAsia" w:cs="Times New Roman"/>
        </w:rPr>
        <w:t>本项目位于阿坝县莲宝叶则景区，对发展阿坝县域经济和农村经济，建设社会主义新农村有着重要作用，是农村社会和经济发展的重要基础公益设施，是推动地方经济发展的需要。结合四川省“</w:t>
      </w:r>
      <w:r>
        <w:rPr>
          <w:rFonts w:hint="eastAsia" w:cs="Times New Roman"/>
          <w:lang w:val="en-US" w:eastAsia="zh-CN"/>
        </w:rPr>
        <w:t>乡村振兴</w:t>
      </w:r>
      <w:r>
        <w:rPr>
          <w:rFonts w:hint="eastAsia" w:cs="Times New Roman"/>
        </w:rPr>
        <w:t>”文件精神，本项目的建设将极大地推动项目区附近乡村的</w:t>
      </w:r>
      <w:r>
        <w:rPr>
          <w:rFonts w:hint="eastAsia" w:cs="Times New Roman"/>
          <w:lang w:val="en-US" w:eastAsia="zh-CN"/>
        </w:rPr>
        <w:t>乡村振兴</w:t>
      </w:r>
      <w:r>
        <w:rPr>
          <w:rFonts w:hint="eastAsia" w:cs="Times New Roman"/>
        </w:rPr>
        <w:t>步伐，为阿坝县的发展奠定基础，为减小与较发达地区经济差距，为民族地区的稳定发展和社会和谐提供支撑。</w:t>
      </w:r>
    </w:p>
    <w:p>
      <w:pPr>
        <w:ind w:firstLine="480"/>
        <w:rPr>
          <w:rFonts w:cs="Times New Roman"/>
        </w:rPr>
      </w:pPr>
      <w:r>
        <w:rPr>
          <w:rFonts w:hint="eastAsia" w:cs="Times New Roman"/>
        </w:rPr>
        <w:t>本项目的建设，同样是对“中央第六次西藏工作座谈会”的积极响应，是对“坚持党的治藏方略，把维护祖国统一、加强民族团结作为工作的着眼点和着力点，坚定不移促进经济社会发展，坚定不移保障和改善民生，坚定不移促进各民族交往交流交融，确保国家安全和长治久安，确保经济社会持续健康发展，确保各族人民物质文化生活水平不断提高”政策的坚决拥护。</w:t>
      </w:r>
    </w:p>
    <w:p>
      <w:pPr>
        <w:ind w:firstLine="480"/>
        <w:rPr>
          <w:rFonts w:cs="Times New Roman"/>
        </w:rPr>
      </w:pPr>
      <w:r>
        <w:rPr>
          <w:rFonts w:hint="eastAsia" w:cs="Times New Roman"/>
        </w:rPr>
        <w:t>阿坝县是内地通往西北的重要交通枢纽，是川青高速公路的必经之地，对周边地区自然形成集聚和辐射带动作用，具备发展现代商贸物流业的绝佳优势和良好条件。项目的建设将进一步加大项目区旅游资源的开发力度，推动社会经济发展；同时使项目区和外界联系更加便捷畅通，为项目区与周边其他地方开展更深、更广的合作创造有利条件。因此，项目的建设是促进沿线社会经济协调发展、提高少数民族地区生活水平、促进藏区民族团结的需要。</w:t>
      </w:r>
    </w:p>
    <w:p>
      <w:pPr>
        <w:ind w:firstLine="482"/>
        <w:rPr>
          <w:rFonts w:cs="Times New Roman"/>
          <w:b/>
        </w:rPr>
      </w:pPr>
      <w:r>
        <w:rPr>
          <w:rFonts w:hint="eastAsia" w:cs="Times New Roman"/>
          <w:b/>
        </w:rPr>
        <w:t>4、本项目的建设是提高公路设施潜能，提升路网应急和保障能力的需要</w:t>
      </w:r>
    </w:p>
    <w:p>
      <w:pPr>
        <w:ind w:firstLine="480"/>
        <w:rPr>
          <w:rFonts w:cs="Times New Roman"/>
        </w:rPr>
      </w:pPr>
      <w:r>
        <w:rPr>
          <w:rFonts w:hint="eastAsia" w:cs="Times New Roman"/>
        </w:rPr>
        <w:t>《阿坝州阿坝县“十四五”综合交通发展规划（2021-2025）》中制定“坚持以人为本，持续发展；坚持改建结合，整体规划；坚持生命至上，安全发展”的原则。本项目立足于阿坝县经济社会发展计划、国土规划、城镇体系规划、产业发展规划，通过系统分析、全面谋划，注重针对性、实效性和可操作性，通过对既有道路进行改造以满足交通需要，充分挖掘现有公路交通设施的潜能，坚持改建结合，在一定程度上节约土地与投资。</w:t>
      </w:r>
    </w:p>
    <w:p>
      <w:pPr>
        <w:ind w:firstLine="480"/>
        <w:rPr>
          <w:rFonts w:cs="Times New Roman"/>
        </w:rPr>
      </w:pPr>
      <w:r>
        <w:rPr>
          <w:rFonts w:hint="eastAsia" w:cs="Times New Roman"/>
        </w:rPr>
        <w:t>本项目地处高原，且位于四川省地震高发区，发震频率及地震烈度高，加之该区域的地形、地质条件复杂，危岩、崩塌等震后次生灾害极其严重，一旦遇较大的地质灾害造成较长时间的道路中断，将直接影响到项目区各乡镇、村寨的交通出行，使得救灾人员和大型机械无法在短时间内进入，给救援工作带来极大困难。本项目的建设能够有效改善目前区域内救灾通道保通能力差、保障能力不强的状况，增加区域路网的连通度，提高灾区交通基础设施的抗灾能力，从整体上提高路网的报备水平和保障能力。确保在不可预见自然灾害发生的情况下，能够担负起项目区“生命通道”的应急和保障工作。</w:t>
      </w:r>
    </w:p>
    <w:p>
      <w:pPr>
        <w:ind w:firstLine="482"/>
        <w:rPr>
          <w:rFonts w:cs="Times New Roman"/>
          <w:b/>
        </w:rPr>
      </w:pPr>
      <w:r>
        <w:rPr>
          <w:rFonts w:hint="eastAsia" w:cs="Times New Roman"/>
          <w:b/>
        </w:rPr>
        <w:t>5、本项目的建设是创建“美丽乡村”是落实党的十九大精神，推进生态文明建设的需要</w:t>
      </w:r>
    </w:p>
    <w:p>
      <w:pPr>
        <w:ind w:firstLine="480"/>
        <w:rPr>
          <w:rFonts w:cs="Times New Roman"/>
        </w:rPr>
      </w:pPr>
      <w:r>
        <w:rPr>
          <w:rFonts w:hint="eastAsia" w:cs="Times New Roman"/>
        </w:rPr>
        <w:t>党的十九大明确提出要“建设美丽中国，为人民创造良好生活环境”</w:t>
      </w:r>
      <w:r>
        <w:rPr>
          <w:rFonts w:hint="eastAsia" w:cs="Times New Roman"/>
          <w:lang w:eastAsia="zh-CN"/>
        </w:rPr>
        <w:t>，</w:t>
      </w:r>
      <w:r>
        <w:rPr>
          <w:rFonts w:hint="eastAsia" w:cs="Times New Roman"/>
        </w:rPr>
        <w:t>农业农村生态文明建设是生态文明建设的重要内容</w:t>
      </w:r>
      <w:r>
        <w:rPr>
          <w:rFonts w:hint="eastAsia" w:cs="Times New Roman"/>
          <w:lang w:eastAsia="zh-CN"/>
        </w:rPr>
        <w:t>。</w:t>
      </w:r>
      <w:r>
        <w:rPr>
          <w:rFonts w:hint="eastAsia" w:cs="Times New Roman"/>
        </w:rPr>
        <w:t>推进生态人居、生态环境、生态经济和生态文化建设，创建宜居、宜业、宜游的“美丽乡村”，是新农村建设理念、内容和水平的全面提升，是贯彻落实城乡一体化发展战略的实际步骤。美丽乡村建设既是美丽中国建设的重要部分，也是城乡协调发展的重要组成部分。开展“美丽乡村”创建活动，重点推进生态农业建设、推广节能减排技术、节约和保护农业资源、改善农村人居环境，是落实生态文明建设的重要举措，是在农村地区建设美丽中国的具体行动。开展“美丽乡村”创建活动，推进农业发展方式转变，加强农业资源环境保护，有效提高农业资源利用率，走资源节约、环境友好的农业发展道路，是发展现代农业的必然要求，是实现农业农村经济可持续发展的必然趋势。</w:t>
      </w:r>
    </w:p>
    <w:p>
      <w:pPr>
        <w:ind w:firstLine="480"/>
        <w:rPr>
          <w:rFonts w:cs="Times New Roman"/>
        </w:rPr>
      </w:pPr>
      <w:r>
        <w:rPr>
          <w:rFonts w:hint="eastAsia" w:cs="Times New Roman"/>
        </w:rPr>
        <w:t>建设美丽乡村不仅仅是农村居民的需要，也是城市居民的需要。农村所有问题，包括生态问题、环境问题、文化问题，影响的绝不仅仅是农村人口的生产生活问题，实际上从各方面影响到城市产业发展和城市居民的生活。比如，水土流失问题，土壤污染问题，沙尘暴问题，水的污染问题等等，都直接通过大气或者食品等等影响到城市居民。</w:t>
      </w:r>
    </w:p>
    <w:p>
      <w:pPr>
        <w:pStyle w:val="3"/>
        <w:numPr>
          <w:ilvl w:val="1"/>
          <w:numId w:val="0"/>
        </w:numPr>
        <w:ind w:leftChars="0"/>
        <w:rPr>
          <w:rFonts w:cs="Times New Roman"/>
        </w:rPr>
      </w:pPr>
      <w:bookmarkStart w:id="5" w:name="_Toc22005"/>
      <w:r>
        <w:rPr>
          <w:rFonts w:hint="eastAsia" w:cs="Times New Roman"/>
          <w:lang w:val="en-US" w:eastAsia="zh-CN"/>
        </w:rPr>
        <w:t xml:space="preserve">1.3 </w:t>
      </w:r>
      <w:r>
        <w:rPr>
          <w:rFonts w:cs="Times New Roman"/>
        </w:rPr>
        <w:t>任务由来及工作情况</w:t>
      </w:r>
      <w:bookmarkEnd w:id="5"/>
    </w:p>
    <w:p>
      <w:pPr>
        <w:ind w:firstLine="480"/>
        <w:rPr>
          <w:rFonts w:cs="Times New Roman"/>
        </w:rPr>
      </w:pPr>
      <w:r>
        <w:rPr>
          <w:rFonts w:cs="Times New Roman"/>
        </w:rPr>
        <w:t>莲班路</w:t>
      </w:r>
      <w:r>
        <w:rPr>
          <w:rFonts w:hint="eastAsia" w:cs="Times New Roman"/>
        </w:rPr>
        <w:t>（安斗乡至罗云措沟段）美丽</w:t>
      </w:r>
      <w:r>
        <w:rPr>
          <w:rFonts w:cs="Times New Roman"/>
        </w:rPr>
        <w:t>乡村路建设部分</w:t>
      </w:r>
      <w:r>
        <w:rPr>
          <w:rFonts w:hint="eastAsia" w:cs="Times New Roman"/>
        </w:rPr>
        <w:t>路段</w:t>
      </w:r>
      <w:r>
        <w:rPr>
          <w:rFonts w:cs="Times New Roman"/>
        </w:rPr>
        <w:t>位于</w:t>
      </w:r>
      <w:r>
        <w:rPr>
          <w:rFonts w:hint="eastAsia" w:cs="Times New Roman"/>
        </w:rPr>
        <w:t>四川阿坝莲宝叶则</w:t>
      </w:r>
      <w:r>
        <w:rPr>
          <w:rFonts w:cs="Times New Roman"/>
        </w:rPr>
        <w:t>省级湿地公园内，其建设和运营会给湿地公园带来不利影响。参照《国家湿地公园管理办法》、《湿地保护管理规定》（</w:t>
      </w:r>
      <w:r>
        <w:rPr>
          <w:rFonts w:hint="eastAsia" w:cs="Times New Roman"/>
        </w:rPr>
        <w:t>2017年12月5日国家林业局令第48号修改</w:t>
      </w:r>
      <w:r>
        <w:rPr>
          <w:rFonts w:cs="Times New Roman"/>
        </w:rPr>
        <w:t>）、《关于工程建设占用国家湿地公园有关问题的函》（国家林业局湿地保护管理中心林湿函</w:t>
      </w:r>
      <w:r>
        <w:rPr>
          <w:rFonts w:hint="eastAsia" w:ascii="宋体" w:hAnsi="宋体" w:cs="Times New Roman"/>
        </w:rPr>
        <w:t>〔</w:t>
      </w:r>
      <w:r>
        <w:rPr>
          <w:rFonts w:hint="eastAsia" w:cs="Times New Roman"/>
        </w:rPr>
        <w:t>201</w:t>
      </w:r>
      <w:r>
        <w:rPr>
          <w:rFonts w:cs="Times New Roman"/>
        </w:rPr>
        <w:t>6</w:t>
      </w:r>
      <w:r>
        <w:rPr>
          <w:rFonts w:hint="eastAsia" w:ascii="宋体" w:hAnsi="宋体" w:cs="Times New Roman"/>
        </w:rPr>
        <w:t>〕</w:t>
      </w:r>
      <w:r>
        <w:rPr>
          <w:rFonts w:cs="Times New Roman"/>
        </w:rPr>
        <w:t>32号）、《关于工程建设占用国家湿地公园有关问题的通知》（四川省林业厅川林护函</w:t>
      </w:r>
      <w:r>
        <w:rPr>
          <w:rFonts w:hint="eastAsia" w:ascii="宋体" w:hAnsi="宋体" w:cs="Times New Roman"/>
        </w:rPr>
        <w:t>〔</w:t>
      </w:r>
      <w:r>
        <w:rPr>
          <w:rFonts w:hint="eastAsia" w:cs="Times New Roman"/>
        </w:rPr>
        <w:t>201</w:t>
      </w:r>
      <w:r>
        <w:rPr>
          <w:rFonts w:cs="Times New Roman"/>
        </w:rPr>
        <w:t>6</w:t>
      </w:r>
      <w:r>
        <w:rPr>
          <w:rFonts w:hint="eastAsia" w:ascii="宋体" w:hAnsi="宋体" w:cs="Times New Roman"/>
        </w:rPr>
        <w:t>〕</w:t>
      </w:r>
      <w:r>
        <w:rPr>
          <w:rFonts w:cs="Times New Roman"/>
        </w:rPr>
        <w:t>890号）等</w:t>
      </w:r>
      <w:r>
        <w:rPr>
          <w:rFonts w:cs="Times New Roman"/>
          <w:spacing w:val="8"/>
        </w:rPr>
        <w:t>部门规章和地方规范性文件的要求，</w:t>
      </w:r>
      <w:r>
        <w:rPr>
          <w:rFonts w:hint="eastAsia"/>
          <w:bCs/>
          <w:color w:val="auto"/>
        </w:rPr>
        <w:t>阿坝县交通运输局</w:t>
      </w:r>
      <w:r>
        <w:rPr>
          <w:rFonts w:cs="Times New Roman"/>
        </w:rPr>
        <w:t>委托</w:t>
      </w:r>
      <w:r>
        <w:rPr>
          <w:rFonts w:hint="eastAsia" w:cs="Times New Roman"/>
          <w:lang w:eastAsia="zh-CN"/>
        </w:rPr>
        <w:t>四川省林业科技开发实业有限公司</w:t>
      </w:r>
      <w:r>
        <w:rPr>
          <w:rFonts w:cs="Times New Roman"/>
        </w:rPr>
        <w:t>编制《</w:t>
      </w:r>
      <w:r>
        <w:rPr>
          <w:rFonts w:hint="eastAsia" w:cs="Times New Roman"/>
        </w:rPr>
        <w:t>阿坝县</w:t>
      </w:r>
      <w:r>
        <w:rPr>
          <w:rFonts w:cs="Times New Roman"/>
        </w:rPr>
        <w:t>莲班路</w:t>
      </w:r>
      <w:r>
        <w:rPr>
          <w:rFonts w:hint="eastAsia" w:cs="Times New Roman"/>
        </w:rPr>
        <w:t>（安斗乡至罗云措沟段）美丽乡村路建设对四川阿坝莲宝叶则省级湿地公园生态影响评价报告</w:t>
      </w:r>
      <w:r>
        <w:rPr>
          <w:rFonts w:cs="Times New Roman"/>
        </w:rPr>
        <w:t>》。</w:t>
      </w:r>
      <w:r>
        <w:rPr>
          <w:rFonts w:cs="Times New Roman"/>
          <w:spacing w:val="8"/>
        </w:rPr>
        <w:t>按程序上报湿地公园主管部门组织审查、审</w:t>
      </w:r>
      <w:r>
        <w:rPr>
          <w:rFonts w:hint="eastAsia" w:cs="Times New Roman"/>
          <w:spacing w:val="8"/>
          <w:lang w:val="en-US" w:eastAsia="zh-CN"/>
        </w:rPr>
        <w:t>核</w:t>
      </w:r>
      <w:r>
        <w:rPr>
          <w:rFonts w:hint="eastAsia" w:cs="Times New Roman"/>
          <w:spacing w:val="8"/>
        </w:rPr>
        <w:t>，</w:t>
      </w:r>
      <w:r>
        <w:rPr>
          <w:rFonts w:cs="Times New Roman"/>
          <w:spacing w:val="8"/>
        </w:rPr>
        <w:t>以</w:t>
      </w:r>
      <w:r>
        <w:rPr>
          <w:rFonts w:hint="eastAsia" w:cs="Times New Roman"/>
          <w:spacing w:val="8"/>
        </w:rPr>
        <w:t>便完善</w:t>
      </w:r>
      <w:r>
        <w:rPr>
          <w:rFonts w:cs="Times New Roman"/>
          <w:spacing w:val="8"/>
        </w:rPr>
        <w:t>本项目</w:t>
      </w:r>
      <w:r>
        <w:rPr>
          <w:rFonts w:hint="eastAsia" w:cs="Times New Roman"/>
          <w:spacing w:val="8"/>
        </w:rPr>
        <w:t>手续</w:t>
      </w:r>
      <w:r>
        <w:rPr>
          <w:rFonts w:cs="Times New Roman"/>
          <w:spacing w:val="8"/>
        </w:rPr>
        <w:t>。</w:t>
      </w:r>
    </w:p>
    <w:p>
      <w:pPr>
        <w:ind w:firstLine="512"/>
        <w:rPr>
          <w:rFonts w:cs="Times New Roman"/>
        </w:rPr>
      </w:pPr>
      <w:r>
        <w:rPr>
          <w:rFonts w:cs="Times New Roman"/>
          <w:spacing w:val="8"/>
        </w:rPr>
        <w:t>接到任务后，</w:t>
      </w:r>
      <w:r>
        <w:rPr>
          <w:rFonts w:hint="eastAsia" w:cs="Times New Roman"/>
          <w:spacing w:val="8"/>
        </w:rPr>
        <w:t>我</w:t>
      </w:r>
      <w:r>
        <w:rPr>
          <w:rFonts w:hint="eastAsia" w:cs="Times New Roman"/>
          <w:spacing w:val="8"/>
          <w:lang w:val="en-US" w:eastAsia="zh-CN"/>
        </w:rPr>
        <w:t>单位</w:t>
      </w:r>
      <w:r>
        <w:rPr>
          <w:rFonts w:cs="Times New Roman"/>
          <w:spacing w:val="8"/>
        </w:rPr>
        <w:t>组织</w:t>
      </w:r>
      <w:r>
        <w:rPr>
          <w:rFonts w:cs="Times New Roman"/>
        </w:rPr>
        <w:t>相关</w:t>
      </w:r>
      <w:r>
        <w:rPr>
          <w:rFonts w:cs="Times New Roman"/>
          <w:spacing w:val="8"/>
        </w:rPr>
        <w:t>专业技术人员于</w:t>
      </w:r>
      <w:r>
        <w:rPr>
          <w:rFonts w:cs="Times New Roman"/>
        </w:rPr>
        <w:t>20</w:t>
      </w:r>
      <w:r>
        <w:rPr>
          <w:rFonts w:hint="eastAsia" w:cs="Times New Roman"/>
        </w:rPr>
        <w:t>2</w:t>
      </w:r>
      <w:r>
        <w:rPr>
          <w:rFonts w:cs="Times New Roman"/>
        </w:rPr>
        <w:t>1年11月赴项目现场对公路与湿地公园的关系进行核实，</w:t>
      </w:r>
      <w:r>
        <w:rPr>
          <w:rFonts w:cs="Times New Roman"/>
          <w:spacing w:val="8"/>
        </w:rPr>
        <w:t>对公路穿越湿地公园沿线及可能影响的湿地资源、自然生态系统、景观环境和社会环境等进行了实地调查，与湿地公园管理部门充分沟通，广泛听取意见。参照《</w:t>
      </w:r>
      <w:r>
        <w:rPr>
          <w:rFonts w:hint="eastAsia" w:cs="Times New Roman"/>
        </w:rPr>
        <w:t>四川阿坝莲宝叶则</w:t>
      </w:r>
      <w:r>
        <w:rPr>
          <w:rFonts w:cs="Times New Roman"/>
        </w:rPr>
        <w:t>省级湿地公园</w:t>
      </w:r>
      <w:r>
        <w:rPr>
          <w:rFonts w:cs="Times New Roman"/>
          <w:spacing w:val="8"/>
        </w:rPr>
        <w:t>总体规划》等湿地公园基础材料实事求是地进行分析论证，于</w:t>
      </w:r>
      <w:r>
        <w:rPr>
          <w:rFonts w:cs="Times New Roman"/>
          <w:color w:val="auto"/>
          <w:spacing w:val="8"/>
        </w:rPr>
        <w:t>20</w:t>
      </w:r>
      <w:r>
        <w:rPr>
          <w:rFonts w:hint="eastAsia" w:cs="Times New Roman"/>
          <w:color w:val="auto"/>
          <w:spacing w:val="8"/>
        </w:rPr>
        <w:t>2</w:t>
      </w:r>
      <w:r>
        <w:rPr>
          <w:rFonts w:cs="Times New Roman"/>
          <w:color w:val="auto"/>
          <w:spacing w:val="8"/>
        </w:rPr>
        <w:t>2年</w:t>
      </w:r>
      <w:r>
        <w:rPr>
          <w:rFonts w:hint="eastAsia" w:cs="Times New Roman"/>
          <w:color w:val="auto"/>
          <w:spacing w:val="8"/>
          <w:lang w:val="en-US" w:eastAsia="zh-CN"/>
        </w:rPr>
        <w:t>4</w:t>
      </w:r>
      <w:r>
        <w:rPr>
          <w:rFonts w:cs="Times New Roman"/>
          <w:color w:val="auto"/>
          <w:spacing w:val="8"/>
        </w:rPr>
        <w:t>月</w:t>
      </w:r>
      <w:r>
        <w:rPr>
          <w:rFonts w:cs="Times New Roman"/>
          <w:spacing w:val="8"/>
        </w:rPr>
        <w:t>编制完成</w:t>
      </w:r>
      <w:r>
        <w:rPr>
          <w:rFonts w:cs="Times New Roman"/>
        </w:rPr>
        <w:t>《</w:t>
      </w:r>
      <w:r>
        <w:rPr>
          <w:rFonts w:hint="eastAsia" w:cs="Times New Roman"/>
        </w:rPr>
        <w:t>阿坝县</w:t>
      </w:r>
      <w:r>
        <w:rPr>
          <w:rFonts w:cs="Times New Roman"/>
        </w:rPr>
        <w:t>莲班路</w:t>
      </w:r>
      <w:r>
        <w:rPr>
          <w:rFonts w:hint="eastAsia" w:cs="Times New Roman"/>
        </w:rPr>
        <w:t>（安斗乡至罗云措沟段）美丽乡村路建设对四川阿坝莲宝叶则省级湿地公园生态影响评价报告</w:t>
      </w:r>
      <w:r>
        <w:rPr>
          <w:rFonts w:cs="Times New Roman"/>
        </w:rPr>
        <w:t>》。</w:t>
      </w:r>
    </w:p>
    <w:p>
      <w:pPr>
        <w:pStyle w:val="3"/>
        <w:numPr>
          <w:ilvl w:val="1"/>
          <w:numId w:val="0"/>
        </w:numPr>
        <w:ind w:leftChars="0"/>
        <w:rPr>
          <w:rFonts w:cs="Times New Roman"/>
        </w:rPr>
      </w:pPr>
      <w:bookmarkStart w:id="6" w:name="_Toc20099"/>
      <w:r>
        <w:rPr>
          <w:rFonts w:hint="eastAsia" w:cs="Times New Roman"/>
          <w:lang w:val="en-US" w:eastAsia="zh-CN"/>
        </w:rPr>
        <w:t xml:space="preserve">1.4 </w:t>
      </w:r>
      <w:r>
        <w:rPr>
          <w:rFonts w:cs="Times New Roman"/>
        </w:rPr>
        <w:t>评价报告编制依据</w:t>
      </w:r>
      <w:bookmarkEnd w:id="6"/>
    </w:p>
    <w:p>
      <w:pPr>
        <w:pStyle w:val="5"/>
        <w:numPr>
          <w:ilvl w:val="2"/>
          <w:numId w:val="0"/>
        </w:numPr>
        <w:ind w:leftChars="0"/>
        <w:rPr>
          <w:rFonts w:cs="Times New Roman"/>
        </w:rPr>
      </w:pPr>
      <w:r>
        <w:rPr>
          <w:rFonts w:hint="eastAsia" w:cs="Times New Roman"/>
          <w:lang w:val="en-US" w:eastAsia="zh-CN"/>
        </w:rPr>
        <w:t xml:space="preserve">1.4.1 </w:t>
      </w:r>
      <w:r>
        <w:rPr>
          <w:rFonts w:cs="Times New Roman"/>
        </w:rPr>
        <w:t>法律法规及规范性文件</w:t>
      </w:r>
    </w:p>
    <w:p>
      <w:pPr>
        <w:ind w:firstLine="480"/>
        <w:jc w:val="left"/>
        <w:rPr>
          <w:rFonts w:cs="Times New Roman"/>
        </w:rPr>
      </w:pPr>
      <w:r>
        <w:rPr>
          <w:rFonts w:hint="eastAsia" w:cs="Times New Roman"/>
        </w:rPr>
        <w:t>（1）</w:t>
      </w:r>
      <w:r>
        <w:rPr>
          <w:rFonts w:cs="Times New Roman"/>
        </w:rPr>
        <w:t>《中华人民共和国环境保护法》</w:t>
      </w:r>
      <w:r>
        <w:rPr>
          <w:kern w:val="0"/>
          <w:szCs w:val="28"/>
        </w:rPr>
        <w:t>（2014 年修订）</w:t>
      </w:r>
    </w:p>
    <w:p>
      <w:pPr>
        <w:ind w:firstLine="480"/>
        <w:jc w:val="left"/>
        <w:rPr>
          <w:kern w:val="0"/>
          <w:szCs w:val="28"/>
        </w:rPr>
      </w:pPr>
      <w:r>
        <w:rPr>
          <w:rFonts w:hint="eastAsia" w:cs="Times New Roman"/>
        </w:rPr>
        <w:t>（2）</w:t>
      </w:r>
      <w:r>
        <w:rPr>
          <w:rFonts w:cs="Times New Roman"/>
        </w:rPr>
        <w:t>《中华人民共和国森林法》</w:t>
      </w:r>
      <w:r>
        <w:rPr>
          <w:kern w:val="0"/>
          <w:szCs w:val="28"/>
        </w:rPr>
        <w:t>（2019 年修订）</w:t>
      </w:r>
    </w:p>
    <w:p>
      <w:pPr>
        <w:ind w:firstLine="480"/>
        <w:jc w:val="left"/>
        <w:rPr>
          <w:rFonts w:hint="default" w:eastAsia="宋体"/>
          <w:kern w:val="0"/>
          <w:szCs w:val="28"/>
          <w:lang w:val="en-US" w:eastAsia="zh-CN"/>
        </w:rPr>
      </w:pPr>
      <w:r>
        <w:rPr>
          <w:rFonts w:hint="eastAsia"/>
          <w:kern w:val="0"/>
          <w:szCs w:val="28"/>
          <w:lang w:eastAsia="zh-CN"/>
        </w:rPr>
        <w:t>（</w:t>
      </w:r>
      <w:r>
        <w:rPr>
          <w:rFonts w:hint="eastAsia"/>
          <w:kern w:val="0"/>
          <w:szCs w:val="28"/>
          <w:lang w:val="en-US" w:eastAsia="zh-CN"/>
        </w:rPr>
        <w:t>3</w:t>
      </w:r>
      <w:r>
        <w:rPr>
          <w:rFonts w:hint="eastAsia"/>
          <w:kern w:val="0"/>
          <w:szCs w:val="28"/>
          <w:lang w:eastAsia="zh-CN"/>
        </w:rPr>
        <w:t>）《中华人民共和国湿地保护法》（</w:t>
      </w:r>
      <w:r>
        <w:rPr>
          <w:rFonts w:hint="eastAsia"/>
          <w:kern w:val="0"/>
          <w:szCs w:val="28"/>
          <w:lang w:val="en-US" w:eastAsia="zh-CN"/>
        </w:rPr>
        <w:t>2021年通过）</w:t>
      </w:r>
    </w:p>
    <w:p>
      <w:pPr>
        <w:ind w:firstLine="480"/>
        <w:jc w:val="left"/>
        <w:rPr>
          <w:rFonts w:cs="Times New Roman"/>
        </w:rPr>
      </w:pPr>
      <w:r>
        <w:rPr>
          <w:rFonts w:hint="eastAsia" w:cs="Times New Roman"/>
        </w:rPr>
        <w:t>（</w:t>
      </w:r>
      <w:r>
        <w:rPr>
          <w:rFonts w:hint="eastAsia" w:cs="Times New Roman"/>
          <w:lang w:val="en-US" w:eastAsia="zh-CN"/>
        </w:rPr>
        <w:t>4</w:t>
      </w:r>
      <w:r>
        <w:rPr>
          <w:rFonts w:hint="eastAsia" w:cs="Times New Roman"/>
        </w:rPr>
        <w:t>）</w:t>
      </w:r>
      <w:r>
        <w:rPr>
          <w:rFonts w:cs="Times New Roman"/>
        </w:rPr>
        <w:t>《中华人民共和国野生动物保护法》</w:t>
      </w:r>
      <w:r>
        <w:rPr>
          <w:rFonts w:hint="eastAsia" w:cs="Times New Roman"/>
        </w:rPr>
        <w:t>（201</w:t>
      </w:r>
      <w:r>
        <w:rPr>
          <w:rFonts w:cs="Times New Roman"/>
        </w:rPr>
        <w:t>8</w:t>
      </w:r>
      <w:r>
        <w:rPr>
          <w:rFonts w:hint="eastAsia" w:cs="Times New Roman"/>
        </w:rPr>
        <w:t xml:space="preserve"> 年修改）</w:t>
      </w:r>
    </w:p>
    <w:p>
      <w:pPr>
        <w:ind w:firstLine="480"/>
        <w:jc w:val="left"/>
        <w:rPr>
          <w:rFonts w:cs="Times New Roman"/>
        </w:rPr>
      </w:pPr>
      <w:r>
        <w:rPr>
          <w:rFonts w:hint="eastAsia" w:cs="Times New Roman"/>
        </w:rPr>
        <w:t>（</w:t>
      </w:r>
      <w:r>
        <w:rPr>
          <w:rFonts w:hint="eastAsia" w:cs="Times New Roman"/>
          <w:lang w:val="en-US" w:eastAsia="zh-CN"/>
        </w:rPr>
        <w:t>5</w:t>
      </w:r>
      <w:r>
        <w:rPr>
          <w:rFonts w:hint="eastAsia" w:cs="Times New Roman"/>
        </w:rPr>
        <w:t>）</w:t>
      </w:r>
      <w:r>
        <w:rPr>
          <w:rFonts w:cs="Times New Roman"/>
        </w:rPr>
        <w:t>《中华人民共和国环境影响评价法》</w:t>
      </w:r>
      <w:r>
        <w:rPr>
          <w:rFonts w:hint="eastAsia" w:cs="Times New Roman"/>
        </w:rPr>
        <w:t>（201</w:t>
      </w:r>
      <w:r>
        <w:rPr>
          <w:rFonts w:cs="Times New Roman"/>
        </w:rPr>
        <w:t>8</w:t>
      </w:r>
      <w:r>
        <w:rPr>
          <w:rFonts w:hint="eastAsia" w:cs="Times New Roman"/>
        </w:rPr>
        <w:t xml:space="preserve"> 年修正）</w:t>
      </w:r>
    </w:p>
    <w:p>
      <w:pPr>
        <w:ind w:firstLine="480"/>
        <w:jc w:val="left"/>
        <w:rPr>
          <w:rFonts w:cs="Times New Roman"/>
        </w:rPr>
      </w:pPr>
      <w:r>
        <w:rPr>
          <w:rFonts w:hint="eastAsia" w:cs="Times New Roman"/>
        </w:rPr>
        <w:t>（</w:t>
      </w:r>
      <w:r>
        <w:rPr>
          <w:rFonts w:hint="eastAsia" w:cs="Times New Roman"/>
          <w:lang w:val="en-US" w:eastAsia="zh-CN"/>
        </w:rPr>
        <w:t>6</w:t>
      </w:r>
      <w:r>
        <w:rPr>
          <w:rFonts w:hint="eastAsia" w:cs="Times New Roman"/>
        </w:rPr>
        <w:t>）</w:t>
      </w:r>
      <w:r>
        <w:rPr>
          <w:rFonts w:cs="Times New Roman"/>
        </w:rPr>
        <w:t>《中华人民共和国水土保持法》</w:t>
      </w:r>
      <w:r>
        <w:rPr>
          <w:rFonts w:hint="eastAsia" w:cs="Times New Roman"/>
        </w:rPr>
        <w:t>（2010 年修订）</w:t>
      </w:r>
    </w:p>
    <w:p>
      <w:pPr>
        <w:ind w:firstLine="480"/>
        <w:jc w:val="left"/>
        <w:rPr>
          <w:rFonts w:cs="Times New Roman"/>
        </w:rPr>
      </w:pPr>
      <w:r>
        <w:rPr>
          <w:rFonts w:hint="eastAsia" w:cs="Times New Roman"/>
        </w:rPr>
        <w:t>（</w:t>
      </w:r>
      <w:r>
        <w:rPr>
          <w:rFonts w:hint="eastAsia" w:cs="Times New Roman"/>
          <w:lang w:val="en-US" w:eastAsia="zh-CN"/>
        </w:rPr>
        <w:t>7</w:t>
      </w:r>
      <w:r>
        <w:rPr>
          <w:rFonts w:hint="eastAsia" w:cs="Times New Roman"/>
        </w:rPr>
        <w:t>）</w:t>
      </w:r>
      <w:r>
        <w:rPr>
          <w:rFonts w:cs="Times New Roman"/>
        </w:rPr>
        <w:t>《中华人民共和国土地管理法》</w:t>
      </w:r>
      <w:r>
        <w:rPr>
          <w:rFonts w:hint="eastAsia" w:cs="Times New Roman"/>
        </w:rPr>
        <w:t>（201</w:t>
      </w:r>
      <w:r>
        <w:rPr>
          <w:rFonts w:cs="Times New Roman"/>
        </w:rPr>
        <w:t>9</w:t>
      </w:r>
      <w:r>
        <w:rPr>
          <w:rFonts w:hint="eastAsia" w:cs="Times New Roman"/>
        </w:rPr>
        <w:t xml:space="preserve"> 年修正）</w:t>
      </w:r>
    </w:p>
    <w:p>
      <w:pPr>
        <w:ind w:firstLine="480"/>
        <w:rPr>
          <w:rFonts w:cs="Times New Roman"/>
        </w:rPr>
      </w:pPr>
      <w:r>
        <w:rPr>
          <w:rFonts w:hint="eastAsia" w:cs="Times New Roman"/>
        </w:rPr>
        <w:t>（</w:t>
      </w:r>
      <w:r>
        <w:rPr>
          <w:rFonts w:hint="eastAsia" w:cs="Times New Roman"/>
          <w:lang w:val="en-US" w:eastAsia="zh-CN"/>
        </w:rPr>
        <w:t>8</w:t>
      </w:r>
      <w:r>
        <w:rPr>
          <w:rFonts w:hint="eastAsia" w:cs="Times New Roman"/>
        </w:rPr>
        <w:t>）</w:t>
      </w:r>
      <w:r>
        <w:rPr>
          <w:rFonts w:cs="Times New Roman"/>
        </w:rPr>
        <w:t>《中华人民共和国</w:t>
      </w:r>
      <w:r>
        <w:rPr>
          <w:rFonts w:hint="eastAsia" w:cs="Times New Roman"/>
        </w:rPr>
        <w:t>陆生</w:t>
      </w:r>
      <w:r>
        <w:rPr>
          <w:rFonts w:cs="Times New Roman"/>
        </w:rPr>
        <w:t>野生动物保护实施条例》</w:t>
      </w:r>
      <w:r>
        <w:rPr>
          <w:kern w:val="0"/>
          <w:szCs w:val="28"/>
        </w:rPr>
        <w:t>（2016年修订）</w:t>
      </w:r>
    </w:p>
    <w:p>
      <w:pPr>
        <w:ind w:firstLine="480"/>
        <w:rPr>
          <w:rFonts w:hint="eastAsia" w:eastAsia="宋体" w:cs="Times New Roman"/>
          <w:lang w:eastAsia="zh-CN"/>
        </w:rPr>
      </w:pPr>
      <w:r>
        <w:rPr>
          <w:rFonts w:hint="eastAsia" w:cs="Times New Roman"/>
        </w:rPr>
        <w:t>（</w:t>
      </w:r>
      <w:r>
        <w:rPr>
          <w:rFonts w:hint="eastAsia" w:cs="Times New Roman"/>
          <w:lang w:val="en-US" w:eastAsia="zh-CN"/>
        </w:rPr>
        <w:t>9</w:t>
      </w:r>
      <w:r>
        <w:rPr>
          <w:rFonts w:hint="eastAsia" w:cs="Times New Roman"/>
        </w:rPr>
        <w:t>）</w:t>
      </w:r>
      <w:r>
        <w:rPr>
          <w:rFonts w:cs="Times New Roman"/>
        </w:rPr>
        <w:t>《中华人民共和国水生野生动物保护实施条例》</w:t>
      </w:r>
      <w:r>
        <w:rPr>
          <w:kern w:val="0"/>
          <w:szCs w:val="28"/>
        </w:rPr>
        <w:t>（2013年修订</w:t>
      </w:r>
      <w:r>
        <w:rPr>
          <w:rFonts w:hint="eastAsia"/>
          <w:kern w:val="0"/>
          <w:szCs w:val="28"/>
          <w:lang w:eastAsia="zh-CN"/>
        </w:rPr>
        <w:t>）</w:t>
      </w:r>
    </w:p>
    <w:p>
      <w:pPr>
        <w:ind w:firstLine="480"/>
        <w:rPr>
          <w:rFonts w:cs="Times New Roman"/>
        </w:rPr>
      </w:pPr>
      <w:r>
        <w:rPr>
          <w:rFonts w:hint="eastAsia" w:cs="Times New Roman"/>
        </w:rPr>
        <w:t>（</w:t>
      </w:r>
      <w:r>
        <w:rPr>
          <w:rFonts w:hint="eastAsia" w:cs="Times New Roman"/>
          <w:lang w:val="en-US" w:eastAsia="zh-CN"/>
        </w:rPr>
        <w:t>10</w:t>
      </w:r>
      <w:r>
        <w:rPr>
          <w:rFonts w:hint="eastAsia" w:cs="Times New Roman"/>
        </w:rPr>
        <w:t>）</w:t>
      </w:r>
      <w:r>
        <w:rPr>
          <w:rFonts w:cs="Times New Roman"/>
        </w:rPr>
        <w:t>《中华人民共和国野生植物保护条例》</w:t>
      </w:r>
      <w:r>
        <w:rPr>
          <w:kern w:val="0"/>
          <w:szCs w:val="28"/>
        </w:rPr>
        <w:t>（2017年修订）</w:t>
      </w:r>
    </w:p>
    <w:p>
      <w:pPr>
        <w:ind w:firstLine="480"/>
        <w:rPr>
          <w:rFonts w:cs="Times New Roman"/>
        </w:rPr>
      </w:pPr>
      <w:r>
        <w:rPr>
          <w:rFonts w:hint="eastAsia" w:cs="Times New Roman"/>
        </w:rPr>
        <w:t>（1</w:t>
      </w:r>
      <w:r>
        <w:rPr>
          <w:rFonts w:hint="eastAsia" w:cs="Times New Roman"/>
          <w:lang w:val="en-US" w:eastAsia="zh-CN"/>
        </w:rPr>
        <w:t>1</w:t>
      </w:r>
      <w:r>
        <w:rPr>
          <w:rFonts w:hint="eastAsia" w:cs="Times New Roman"/>
        </w:rPr>
        <w:t>）</w:t>
      </w:r>
      <w:r>
        <w:rPr>
          <w:rFonts w:cs="Times New Roman"/>
        </w:rPr>
        <w:t>《建设项目环境保护管理条例》</w:t>
      </w:r>
      <w:r>
        <w:rPr>
          <w:rFonts w:hint="eastAsia" w:cs="Times New Roman"/>
        </w:rPr>
        <w:t>（2</w:t>
      </w:r>
      <w:r>
        <w:rPr>
          <w:rFonts w:cs="Times New Roman"/>
        </w:rPr>
        <w:t>017</w:t>
      </w:r>
      <w:r>
        <w:rPr>
          <w:rFonts w:hint="eastAsia" w:cs="Times New Roman"/>
        </w:rPr>
        <w:t>年修订）</w:t>
      </w:r>
    </w:p>
    <w:p>
      <w:pPr>
        <w:ind w:firstLine="480"/>
        <w:rPr>
          <w:rFonts w:cs="Times New Roman"/>
        </w:rPr>
      </w:pPr>
      <w:r>
        <w:rPr>
          <w:rFonts w:hint="eastAsia" w:cs="Times New Roman"/>
        </w:rPr>
        <w:t>（</w:t>
      </w:r>
      <w:r>
        <w:rPr>
          <w:rFonts w:cs="Times New Roman"/>
        </w:rPr>
        <w:t>1</w:t>
      </w:r>
      <w:r>
        <w:rPr>
          <w:rFonts w:hint="eastAsia" w:cs="Times New Roman"/>
          <w:lang w:val="en-US" w:eastAsia="zh-CN"/>
        </w:rPr>
        <w:t>2</w:t>
      </w:r>
      <w:r>
        <w:rPr>
          <w:rFonts w:hint="eastAsia" w:cs="Times New Roman"/>
        </w:rPr>
        <w:t>）</w:t>
      </w:r>
      <w:r>
        <w:rPr>
          <w:rFonts w:cs="Times New Roman"/>
        </w:rPr>
        <w:t>《湿地保护管理规定》</w:t>
      </w:r>
      <w:r>
        <w:rPr>
          <w:rFonts w:hint="eastAsia" w:cs="Times New Roman"/>
        </w:rPr>
        <w:t>（2</w:t>
      </w:r>
      <w:r>
        <w:rPr>
          <w:rFonts w:cs="Times New Roman"/>
        </w:rPr>
        <w:t>017</w:t>
      </w:r>
      <w:r>
        <w:rPr>
          <w:rFonts w:hint="eastAsia" w:cs="Times New Roman"/>
        </w:rPr>
        <w:t>年修改）</w:t>
      </w:r>
    </w:p>
    <w:p>
      <w:pPr>
        <w:ind w:firstLine="480"/>
        <w:rPr>
          <w:rFonts w:cs="Times New Roman"/>
        </w:rPr>
      </w:pPr>
      <w:r>
        <w:rPr>
          <w:rFonts w:hint="eastAsia" w:cs="Times New Roman"/>
        </w:rPr>
        <w:t>（1</w:t>
      </w:r>
      <w:r>
        <w:rPr>
          <w:rFonts w:hint="eastAsia" w:cs="Times New Roman"/>
          <w:lang w:val="en-US" w:eastAsia="zh-CN"/>
        </w:rPr>
        <w:t>3</w:t>
      </w:r>
      <w:r>
        <w:rPr>
          <w:rFonts w:hint="eastAsia" w:cs="Times New Roman"/>
        </w:rPr>
        <w:t>）</w:t>
      </w:r>
      <w:r>
        <w:rPr>
          <w:rFonts w:cs="Times New Roman"/>
        </w:rPr>
        <w:t>《四川省湿地保护条例》</w:t>
      </w:r>
      <w:r>
        <w:rPr>
          <w:rFonts w:hint="eastAsia" w:cs="Times New Roman"/>
        </w:rPr>
        <w:t>（2</w:t>
      </w:r>
      <w:r>
        <w:rPr>
          <w:rFonts w:cs="Times New Roman"/>
        </w:rPr>
        <w:t>010</w:t>
      </w:r>
      <w:r>
        <w:rPr>
          <w:rFonts w:hint="eastAsia" w:cs="Times New Roman"/>
        </w:rPr>
        <w:t>年）</w:t>
      </w:r>
    </w:p>
    <w:p>
      <w:pPr>
        <w:ind w:firstLine="480"/>
        <w:rPr>
          <w:rFonts w:hint="eastAsia" w:cs="Times New Roman"/>
        </w:rPr>
      </w:pPr>
      <w:r>
        <w:rPr>
          <w:rFonts w:hint="eastAsia" w:cs="Times New Roman"/>
        </w:rPr>
        <w:t>（1</w:t>
      </w:r>
      <w:r>
        <w:rPr>
          <w:rFonts w:hint="eastAsia" w:cs="Times New Roman"/>
          <w:lang w:val="en-US" w:eastAsia="zh-CN"/>
        </w:rPr>
        <w:t>4</w:t>
      </w:r>
      <w:r>
        <w:rPr>
          <w:rFonts w:hint="eastAsia" w:cs="Times New Roman"/>
        </w:rPr>
        <w:t>）</w:t>
      </w:r>
      <w:r>
        <w:rPr>
          <w:rFonts w:cs="Times New Roman"/>
        </w:rPr>
        <w:t>《国家湿地公园管理办法》</w:t>
      </w:r>
      <w:r>
        <w:rPr>
          <w:rFonts w:hint="eastAsia" w:cs="Times New Roman"/>
        </w:rPr>
        <w:t>（2</w:t>
      </w:r>
      <w:r>
        <w:rPr>
          <w:rFonts w:cs="Times New Roman"/>
        </w:rPr>
        <w:t>017</w:t>
      </w:r>
      <w:r>
        <w:rPr>
          <w:rFonts w:hint="eastAsia" w:cs="Times New Roman"/>
        </w:rPr>
        <w:t>年）</w:t>
      </w:r>
    </w:p>
    <w:p>
      <w:pPr>
        <w:ind w:firstLine="480"/>
        <w:rPr>
          <w:rFonts w:hint="default" w:eastAsia="宋体" w:cs="Times New Roman"/>
          <w:lang w:val="en-US" w:eastAsia="zh-CN"/>
        </w:rPr>
      </w:pPr>
      <w:r>
        <w:rPr>
          <w:rFonts w:hint="eastAsia" w:cs="Times New Roman"/>
          <w:lang w:eastAsia="zh-CN"/>
        </w:rPr>
        <w:t>（</w:t>
      </w:r>
      <w:r>
        <w:rPr>
          <w:rFonts w:hint="eastAsia" w:cs="Times New Roman"/>
          <w:lang w:val="en-US" w:eastAsia="zh-CN"/>
        </w:rPr>
        <w:t>15）《关于在国土空间规划中统筹划定落实三条控制线的指导意见》（国办发[2019]18号）</w:t>
      </w:r>
    </w:p>
    <w:p>
      <w:pPr>
        <w:pStyle w:val="5"/>
        <w:numPr>
          <w:ilvl w:val="2"/>
          <w:numId w:val="0"/>
        </w:numPr>
        <w:ind w:leftChars="0"/>
        <w:rPr>
          <w:rFonts w:cs="Times New Roman"/>
        </w:rPr>
      </w:pPr>
      <w:r>
        <w:rPr>
          <w:rFonts w:hint="eastAsia" w:cs="Times New Roman"/>
          <w:lang w:val="en-US" w:eastAsia="zh-CN"/>
        </w:rPr>
        <w:t xml:space="preserve">1.4.2 </w:t>
      </w:r>
      <w:r>
        <w:rPr>
          <w:rFonts w:cs="Times New Roman"/>
        </w:rPr>
        <w:t>技术规范</w:t>
      </w:r>
    </w:p>
    <w:p>
      <w:pPr>
        <w:ind w:firstLine="480"/>
        <w:rPr>
          <w:rFonts w:cs="Times New Roman"/>
        </w:rPr>
      </w:pPr>
      <w:r>
        <w:rPr>
          <w:rFonts w:hint="eastAsia" w:cs="Times New Roman"/>
        </w:rPr>
        <w:t>（1）</w:t>
      </w:r>
      <w:r>
        <w:rPr>
          <w:rFonts w:cs="Times New Roman"/>
        </w:rPr>
        <w:t>《湿地分类》（GB/T 24708-2009）</w:t>
      </w:r>
    </w:p>
    <w:p>
      <w:pPr>
        <w:ind w:firstLine="480"/>
        <w:rPr>
          <w:rFonts w:cs="Times New Roman"/>
        </w:rPr>
      </w:pPr>
      <w:r>
        <w:rPr>
          <w:rFonts w:hint="eastAsia" w:cs="Times New Roman"/>
        </w:rPr>
        <w:t>（2）</w:t>
      </w:r>
      <w:r>
        <w:rPr>
          <w:rFonts w:cs="Times New Roman"/>
        </w:rPr>
        <w:t xml:space="preserve">《开发建设项目水土保持技术规范》 </w:t>
      </w:r>
      <w:r>
        <w:rPr>
          <w:rFonts w:hint="eastAsia" w:cs="Times New Roman"/>
          <w:lang w:eastAsia="zh-CN"/>
        </w:rPr>
        <w:t>（</w:t>
      </w:r>
      <w:r>
        <w:rPr>
          <w:rFonts w:cs="Times New Roman"/>
        </w:rPr>
        <w:t>GB/T 50433-2008</w:t>
      </w:r>
      <w:r>
        <w:rPr>
          <w:rFonts w:hint="eastAsia" w:cs="Times New Roman"/>
          <w:lang w:eastAsia="zh-CN"/>
        </w:rPr>
        <w:t>）</w:t>
      </w:r>
    </w:p>
    <w:p>
      <w:pPr>
        <w:ind w:firstLine="480"/>
        <w:rPr>
          <w:rFonts w:cs="Times New Roman"/>
        </w:rPr>
      </w:pPr>
      <w:r>
        <w:rPr>
          <w:rFonts w:hint="eastAsia" w:cs="Times New Roman"/>
        </w:rPr>
        <w:t>（3）</w:t>
      </w:r>
      <w:r>
        <w:rPr>
          <w:rFonts w:cs="Times New Roman"/>
        </w:rPr>
        <w:t xml:space="preserve">《开发建设项目水土流失防治标准》 </w:t>
      </w:r>
      <w:r>
        <w:rPr>
          <w:rFonts w:hint="eastAsia" w:cs="Times New Roman"/>
          <w:lang w:eastAsia="zh-CN"/>
        </w:rPr>
        <w:t>（</w:t>
      </w:r>
      <w:r>
        <w:rPr>
          <w:rFonts w:cs="Times New Roman"/>
        </w:rPr>
        <w:t>GB/T 50434-2008</w:t>
      </w:r>
      <w:r>
        <w:rPr>
          <w:rFonts w:hint="eastAsia" w:cs="Times New Roman"/>
          <w:lang w:eastAsia="zh-CN"/>
        </w:rPr>
        <w:t>）</w:t>
      </w:r>
    </w:p>
    <w:p>
      <w:pPr>
        <w:ind w:firstLine="480"/>
        <w:rPr>
          <w:rFonts w:cs="Times New Roman"/>
        </w:rPr>
      </w:pPr>
      <w:r>
        <w:rPr>
          <w:rFonts w:hint="eastAsia" w:cs="Times New Roman"/>
        </w:rPr>
        <w:t>（</w:t>
      </w:r>
      <w:r>
        <w:rPr>
          <w:rFonts w:hint="eastAsia" w:cs="Times New Roman"/>
          <w:lang w:val="en-US" w:eastAsia="zh-CN"/>
        </w:rPr>
        <w:t>4</w:t>
      </w:r>
      <w:r>
        <w:rPr>
          <w:rFonts w:hint="eastAsia" w:cs="Times New Roman"/>
        </w:rPr>
        <w:t>）</w:t>
      </w:r>
      <w:r>
        <w:rPr>
          <w:rFonts w:cs="Times New Roman"/>
        </w:rPr>
        <w:t>《环境空气质量标准》（GB/T</w:t>
      </w:r>
      <w:r>
        <w:rPr>
          <w:rFonts w:hint="eastAsia" w:cs="Times New Roman"/>
          <w:lang w:val="en-US" w:eastAsia="zh-CN"/>
        </w:rPr>
        <w:t xml:space="preserve"> </w:t>
      </w:r>
      <w:r>
        <w:rPr>
          <w:rFonts w:cs="Times New Roman"/>
        </w:rPr>
        <w:t>3095-2012）</w:t>
      </w:r>
    </w:p>
    <w:p>
      <w:pPr>
        <w:ind w:firstLine="480"/>
        <w:rPr>
          <w:rFonts w:cs="Times New Roman"/>
        </w:rPr>
      </w:pPr>
      <w:r>
        <w:rPr>
          <w:rFonts w:hint="eastAsia" w:cs="Times New Roman"/>
        </w:rPr>
        <w:t>（</w:t>
      </w:r>
      <w:r>
        <w:rPr>
          <w:rFonts w:hint="eastAsia" w:cs="Times New Roman"/>
          <w:lang w:val="en-US" w:eastAsia="zh-CN"/>
        </w:rPr>
        <w:t>5</w:t>
      </w:r>
      <w:r>
        <w:rPr>
          <w:rFonts w:hint="eastAsia" w:cs="Times New Roman"/>
        </w:rPr>
        <w:t>）</w:t>
      </w:r>
      <w:r>
        <w:rPr>
          <w:rFonts w:cs="Times New Roman"/>
        </w:rPr>
        <w:t>《声环境质量标准》（GB/T</w:t>
      </w:r>
      <w:r>
        <w:rPr>
          <w:rFonts w:hint="eastAsia" w:cs="Times New Roman"/>
          <w:lang w:val="en-US" w:eastAsia="zh-CN"/>
        </w:rPr>
        <w:t xml:space="preserve"> </w:t>
      </w:r>
      <w:r>
        <w:rPr>
          <w:rFonts w:cs="Times New Roman"/>
        </w:rPr>
        <w:t>3096-2008）</w:t>
      </w:r>
    </w:p>
    <w:p>
      <w:pPr>
        <w:ind w:firstLine="480"/>
        <w:rPr>
          <w:rFonts w:cs="Times New Roman"/>
        </w:rPr>
      </w:pPr>
      <w:r>
        <w:rPr>
          <w:rFonts w:hint="eastAsia" w:cs="Times New Roman"/>
        </w:rPr>
        <w:t>（</w:t>
      </w:r>
      <w:r>
        <w:rPr>
          <w:rFonts w:hint="eastAsia" w:cs="Times New Roman"/>
          <w:lang w:val="en-US" w:eastAsia="zh-CN"/>
        </w:rPr>
        <w:t>6</w:t>
      </w:r>
      <w:r>
        <w:rPr>
          <w:rFonts w:hint="eastAsia" w:cs="Times New Roman"/>
        </w:rPr>
        <w:t>）</w:t>
      </w:r>
      <w:r>
        <w:rPr>
          <w:rFonts w:cs="Times New Roman"/>
        </w:rPr>
        <w:t>《地表水环境质量标准》（GB/T</w:t>
      </w:r>
      <w:r>
        <w:rPr>
          <w:rFonts w:hint="eastAsia" w:cs="Times New Roman"/>
          <w:lang w:val="en-US" w:eastAsia="zh-CN"/>
        </w:rPr>
        <w:t xml:space="preserve"> </w:t>
      </w:r>
      <w:r>
        <w:rPr>
          <w:rFonts w:cs="Times New Roman"/>
        </w:rPr>
        <w:t>3838-2002）</w:t>
      </w:r>
    </w:p>
    <w:p>
      <w:pPr>
        <w:ind w:firstLine="480"/>
        <w:rPr>
          <w:rFonts w:cs="Times New Roman"/>
        </w:rPr>
      </w:pPr>
      <w:r>
        <w:rPr>
          <w:rFonts w:hint="eastAsia" w:cs="Times New Roman"/>
        </w:rPr>
        <w:t>（</w:t>
      </w:r>
      <w:r>
        <w:rPr>
          <w:rFonts w:hint="eastAsia" w:cs="Times New Roman"/>
          <w:lang w:val="en-US" w:eastAsia="zh-CN"/>
        </w:rPr>
        <w:t>7</w:t>
      </w:r>
      <w:r>
        <w:rPr>
          <w:rFonts w:hint="eastAsia" w:cs="Times New Roman"/>
        </w:rPr>
        <w:t>）</w:t>
      </w:r>
      <w:r>
        <w:rPr>
          <w:rFonts w:cs="Times New Roman"/>
        </w:rPr>
        <w:t>《建筑施工场界噪声限制》（GB/T</w:t>
      </w:r>
      <w:r>
        <w:rPr>
          <w:rFonts w:hint="eastAsia" w:cs="Times New Roman"/>
          <w:lang w:val="en-US" w:eastAsia="zh-CN"/>
        </w:rPr>
        <w:t xml:space="preserve"> </w:t>
      </w:r>
      <w:r>
        <w:rPr>
          <w:rFonts w:cs="Times New Roman"/>
        </w:rPr>
        <w:t>12523-2011）</w:t>
      </w:r>
    </w:p>
    <w:p>
      <w:pPr>
        <w:ind w:firstLine="480"/>
        <w:rPr>
          <w:rFonts w:cs="Times New Roman"/>
        </w:rPr>
      </w:pPr>
      <w:r>
        <w:rPr>
          <w:rFonts w:hint="eastAsia" w:cs="Times New Roman"/>
        </w:rPr>
        <w:t>（</w:t>
      </w:r>
      <w:r>
        <w:rPr>
          <w:rFonts w:hint="eastAsia" w:cs="Times New Roman"/>
          <w:lang w:val="en-US" w:eastAsia="zh-CN"/>
        </w:rPr>
        <w:t>8</w:t>
      </w:r>
      <w:r>
        <w:rPr>
          <w:rFonts w:hint="eastAsia" w:cs="Times New Roman"/>
        </w:rPr>
        <w:t>）</w:t>
      </w:r>
      <w:r>
        <w:rPr>
          <w:rFonts w:cs="Times New Roman"/>
        </w:rPr>
        <w:t>《环境影响评价技术导则生态影响》（HJ</w:t>
      </w:r>
      <w:r>
        <w:rPr>
          <w:rFonts w:hint="eastAsia" w:cs="Times New Roman"/>
          <w:lang w:val="en-US" w:eastAsia="zh-CN"/>
        </w:rPr>
        <w:t xml:space="preserve"> </w:t>
      </w:r>
      <w:r>
        <w:rPr>
          <w:rFonts w:cs="Times New Roman"/>
        </w:rPr>
        <w:t>19-20</w:t>
      </w:r>
      <w:r>
        <w:rPr>
          <w:rFonts w:hint="eastAsia" w:cs="Times New Roman"/>
          <w:lang w:val="en-US" w:eastAsia="zh-CN"/>
        </w:rPr>
        <w:t>11</w:t>
      </w:r>
      <w:r>
        <w:rPr>
          <w:rFonts w:cs="Times New Roman"/>
        </w:rPr>
        <w:t>）</w:t>
      </w:r>
    </w:p>
    <w:p>
      <w:pPr>
        <w:ind w:firstLine="480"/>
        <w:rPr>
          <w:rFonts w:cs="Times New Roman"/>
        </w:rPr>
      </w:pPr>
      <w:r>
        <w:rPr>
          <w:rFonts w:hint="eastAsia" w:cs="Times New Roman"/>
        </w:rPr>
        <w:t>（</w:t>
      </w:r>
      <w:r>
        <w:rPr>
          <w:rFonts w:hint="eastAsia" w:cs="Times New Roman"/>
          <w:lang w:val="en-US" w:eastAsia="zh-CN"/>
        </w:rPr>
        <w:t>9</w:t>
      </w:r>
      <w:r>
        <w:rPr>
          <w:rFonts w:hint="eastAsia" w:cs="Times New Roman"/>
        </w:rPr>
        <w:t>）</w:t>
      </w:r>
      <w:r>
        <w:rPr>
          <w:rFonts w:cs="Times New Roman"/>
        </w:rPr>
        <w:t>《环境影响评价技术导则大气环境》（HJ</w:t>
      </w:r>
      <w:r>
        <w:rPr>
          <w:rFonts w:hint="eastAsia" w:cs="Times New Roman"/>
          <w:lang w:val="en-US" w:eastAsia="zh-CN"/>
        </w:rPr>
        <w:t xml:space="preserve"> </w:t>
      </w:r>
      <w:r>
        <w:rPr>
          <w:rFonts w:cs="Times New Roman"/>
        </w:rPr>
        <w:t>2.2-20</w:t>
      </w:r>
      <w:r>
        <w:rPr>
          <w:rFonts w:hint="eastAsia" w:cs="Times New Roman"/>
          <w:lang w:val="en-US" w:eastAsia="zh-CN"/>
        </w:rPr>
        <w:t>18</w:t>
      </w:r>
      <w:r>
        <w:rPr>
          <w:rFonts w:cs="Times New Roman"/>
        </w:rPr>
        <w:t>）</w:t>
      </w:r>
    </w:p>
    <w:p>
      <w:pPr>
        <w:ind w:firstLine="480"/>
        <w:rPr>
          <w:rFonts w:cs="Times New Roman"/>
        </w:rPr>
      </w:pPr>
      <w:r>
        <w:rPr>
          <w:rFonts w:hint="eastAsia" w:cs="Times New Roman"/>
        </w:rPr>
        <w:t>（</w:t>
      </w:r>
      <w:r>
        <w:rPr>
          <w:rFonts w:hint="eastAsia" w:cs="Times New Roman"/>
          <w:lang w:val="en-US" w:eastAsia="zh-CN"/>
        </w:rPr>
        <w:t>10</w:t>
      </w:r>
      <w:r>
        <w:rPr>
          <w:rFonts w:hint="eastAsia" w:cs="Times New Roman"/>
        </w:rPr>
        <w:t>）</w:t>
      </w:r>
      <w:r>
        <w:rPr>
          <w:rFonts w:cs="Times New Roman"/>
        </w:rPr>
        <w:t>《环境影响评价技术导则地</w:t>
      </w:r>
      <w:r>
        <w:rPr>
          <w:rFonts w:hint="eastAsia" w:cs="Times New Roman"/>
          <w:lang w:val="en-US" w:eastAsia="zh-CN"/>
        </w:rPr>
        <w:t>表</w:t>
      </w:r>
      <w:r>
        <w:rPr>
          <w:rFonts w:cs="Times New Roman"/>
        </w:rPr>
        <w:t>水环境》（HJ</w:t>
      </w:r>
      <w:r>
        <w:rPr>
          <w:rFonts w:hint="eastAsia" w:cs="Times New Roman"/>
          <w:lang w:val="en-US" w:eastAsia="zh-CN"/>
        </w:rPr>
        <w:t xml:space="preserve"> </w:t>
      </w:r>
      <w:r>
        <w:rPr>
          <w:rFonts w:cs="Times New Roman"/>
        </w:rPr>
        <w:t>2.3-</w:t>
      </w:r>
      <w:r>
        <w:rPr>
          <w:rFonts w:hint="eastAsia" w:cs="Times New Roman"/>
          <w:lang w:val="en-US" w:eastAsia="zh-CN"/>
        </w:rPr>
        <w:t>2018</w:t>
      </w:r>
      <w:r>
        <w:rPr>
          <w:rFonts w:cs="Times New Roman"/>
        </w:rPr>
        <w:t>）</w:t>
      </w:r>
    </w:p>
    <w:p>
      <w:pPr>
        <w:ind w:firstLine="480"/>
        <w:rPr>
          <w:rFonts w:hint="eastAsia" w:eastAsia="宋体" w:cs="Times New Roman"/>
          <w:lang w:eastAsia="zh-CN"/>
        </w:rPr>
      </w:pPr>
      <w:r>
        <w:rPr>
          <w:rFonts w:hint="eastAsia" w:cs="Times New Roman"/>
        </w:rPr>
        <w:t>（</w:t>
      </w:r>
      <w:r>
        <w:rPr>
          <w:rFonts w:hint="eastAsia" w:cs="Times New Roman"/>
          <w:lang w:val="en-US" w:eastAsia="zh-CN"/>
        </w:rPr>
        <w:t>11</w:t>
      </w:r>
      <w:r>
        <w:rPr>
          <w:rFonts w:hint="eastAsia" w:cs="Times New Roman"/>
        </w:rPr>
        <w:t>）</w:t>
      </w:r>
      <w:r>
        <w:rPr>
          <w:rFonts w:cs="Times New Roman"/>
        </w:rPr>
        <w:t>《建设项目环境风险评价技术导则》（HJ</w:t>
      </w:r>
      <w:r>
        <w:rPr>
          <w:rFonts w:hint="eastAsia" w:cs="Times New Roman"/>
          <w:lang w:val="en-US" w:eastAsia="zh-CN"/>
        </w:rPr>
        <w:t xml:space="preserve"> </w:t>
      </w:r>
      <w:r>
        <w:rPr>
          <w:rFonts w:cs="Times New Roman"/>
        </w:rPr>
        <w:t>169-20</w:t>
      </w:r>
      <w:r>
        <w:rPr>
          <w:rFonts w:hint="eastAsia" w:cs="Times New Roman"/>
          <w:lang w:val="en-US" w:eastAsia="zh-CN"/>
        </w:rPr>
        <w:t>18</w:t>
      </w:r>
      <w:r>
        <w:rPr>
          <w:rFonts w:cs="Times New Roman"/>
        </w:rPr>
        <w:t>）</w:t>
      </w:r>
    </w:p>
    <w:p>
      <w:pPr>
        <w:ind w:firstLine="480"/>
        <w:rPr>
          <w:rFonts w:hint="eastAsia" w:eastAsia="宋体" w:cs="Times New Roman"/>
          <w:lang w:eastAsia="zh-CN"/>
        </w:rPr>
      </w:pPr>
      <w:r>
        <w:rPr>
          <w:rFonts w:hint="eastAsia" w:cs="Times New Roman"/>
        </w:rPr>
        <w:t>（</w:t>
      </w:r>
      <w:r>
        <w:rPr>
          <w:rFonts w:hint="eastAsia" w:cs="Times New Roman"/>
          <w:lang w:val="en-US" w:eastAsia="zh-CN"/>
        </w:rPr>
        <w:t>12</w:t>
      </w:r>
      <w:r>
        <w:rPr>
          <w:rFonts w:hint="eastAsia" w:cs="Times New Roman"/>
        </w:rPr>
        <w:t>）</w:t>
      </w:r>
      <w:r>
        <w:rPr>
          <w:rFonts w:cs="Times New Roman"/>
        </w:rPr>
        <w:t>《</w:t>
      </w:r>
      <w:r>
        <w:rPr>
          <w:rFonts w:hint="eastAsia" w:cs="Times New Roman"/>
          <w:lang w:val="en-US" w:eastAsia="zh-CN"/>
        </w:rPr>
        <w:t>建设项目</w:t>
      </w:r>
      <w:r>
        <w:rPr>
          <w:rFonts w:cs="Times New Roman"/>
        </w:rPr>
        <w:t>环境影响评价技术导则总纲》（HJ</w:t>
      </w:r>
      <w:r>
        <w:rPr>
          <w:rFonts w:hint="eastAsia" w:cs="Times New Roman"/>
          <w:lang w:val="en-US" w:eastAsia="zh-CN"/>
        </w:rPr>
        <w:t xml:space="preserve"> </w:t>
      </w:r>
      <w:r>
        <w:rPr>
          <w:rFonts w:cs="Times New Roman"/>
        </w:rPr>
        <w:t>2.1-2011）</w:t>
      </w:r>
    </w:p>
    <w:p>
      <w:pPr>
        <w:ind w:firstLine="480"/>
        <w:rPr>
          <w:rFonts w:hint="default" w:eastAsia="宋体" w:cs="Times New Roman"/>
          <w:lang w:val="en-US" w:eastAsia="zh-CN"/>
        </w:rPr>
      </w:pPr>
      <w:r>
        <w:rPr>
          <w:rFonts w:hint="eastAsia" w:cs="Times New Roman"/>
          <w:lang w:val="en-US" w:eastAsia="zh-CN"/>
        </w:rPr>
        <w:t>（13）《自然保护区建设项目生物多样性影响评价技术规范》（LY/T 2242-2014）</w:t>
      </w:r>
    </w:p>
    <w:p>
      <w:pPr>
        <w:ind w:firstLine="480"/>
        <w:rPr>
          <w:rFonts w:cs="Times New Roman"/>
        </w:rPr>
      </w:pPr>
      <w:r>
        <w:rPr>
          <w:rFonts w:hint="eastAsia" w:cs="Times New Roman"/>
        </w:rPr>
        <w:t>（1</w:t>
      </w:r>
      <w:r>
        <w:rPr>
          <w:rFonts w:hint="eastAsia" w:cs="Times New Roman"/>
          <w:lang w:val="en-US" w:eastAsia="zh-CN"/>
        </w:rPr>
        <w:t>4</w:t>
      </w:r>
      <w:r>
        <w:rPr>
          <w:rFonts w:hint="eastAsia" w:cs="Times New Roman"/>
        </w:rPr>
        <w:t>）</w:t>
      </w:r>
      <w:r>
        <w:rPr>
          <w:rFonts w:cs="Times New Roman"/>
        </w:rPr>
        <w:t>《国家重点保护野生植物名录（</w:t>
      </w:r>
      <w:r>
        <w:rPr>
          <w:rFonts w:hint="eastAsia" w:cs="Times New Roman"/>
          <w:lang w:val="en-US" w:eastAsia="zh-CN"/>
        </w:rPr>
        <w:t>2021年</w:t>
      </w:r>
      <w:r>
        <w:rPr>
          <w:rFonts w:cs="Times New Roman"/>
        </w:rPr>
        <w:t>）》</w:t>
      </w:r>
    </w:p>
    <w:p>
      <w:pPr>
        <w:ind w:firstLine="480"/>
        <w:rPr>
          <w:rFonts w:cs="Times New Roman"/>
        </w:rPr>
      </w:pPr>
      <w:r>
        <w:rPr>
          <w:rFonts w:hint="eastAsia" w:cs="Times New Roman"/>
        </w:rPr>
        <w:t>（1</w:t>
      </w:r>
      <w:r>
        <w:rPr>
          <w:rFonts w:hint="eastAsia" w:cs="Times New Roman"/>
          <w:lang w:val="en-US" w:eastAsia="zh-CN"/>
        </w:rPr>
        <w:t>5</w:t>
      </w:r>
      <w:r>
        <w:rPr>
          <w:rFonts w:hint="eastAsia" w:cs="Times New Roman"/>
        </w:rPr>
        <w:t>）</w:t>
      </w:r>
      <w:r>
        <w:rPr>
          <w:rFonts w:cs="Times New Roman"/>
        </w:rPr>
        <w:t>《国家重点保护野生动物名录</w:t>
      </w:r>
      <w:r>
        <w:rPr>
          <w:rFonts w:hint="eastAsia" w:cs="Times New Roman"/>
        </w:rPr>
        <w:t>（2</w:t>
      </w:r>
      <w:r>
        <w:rPr>
          <w:rFonts w:cs="Times New Roman"/>
        </w:rPr>
        <w:t>021</w:t>
      </w:r>
      <w:r>
        <w:rPr>
          <w:rFonts w:hint="eastAsia" w:cs="Times New Roman"/>
        </w:rPr>
        <w:t>年）</w:t>
      </w:r>
      <w:r>
        <w:rPr>
          <w:rFonts w:cs="Times New Roman"/>
        </w:rPr>
        <w:t>》</w:t>
      </w:r>
    </w:p>
    <w:p>
      <w:pPr>
        <w:ind w:firstLine="480"/>
        <w:rPr>
          <w:rFonts w:cs="Times New Roman"/>
        </w:rPr>
      </w:pPr>
      <w:r>
        <w:rPr>
          <w:rFonts w:hint="eastAsia" w:cs="Times New Roman"/>
        </w:rPr>
        <w:t>（1</w:t>
      </w:r>
      <w:r>
        <w:rPr>
          <w:rFonts w:hint="eastAsia" w:cs="Times New Roman"/>
          <w:lang w:val="en-US" w:eastAsia="zh-CN"/>
        </w:rPr>
        <w:t>6</w:t>
      </w:r>
      <w:r>
        <w:rPr>
          <w:rFonts w:hint="eastAsia" w:cs="Times New Roman"/>
        </w:rPr>
        <w:t>）</w:t>
      </w:r>
      <w:r>
        <w:rPr>
          <w:rFonts w:cs="Times New Roman"/>
        </w:rPr>
        <w:t>《</w:t>
      </w:r>
      <w:r>
        <w:rPr>
          <w:rFonts w:hint="eastAsia" w:cs="Times New Roman"/>
          <w:lang w:val="en-US" w:eastAsia="zh-CN"/>
        </w:rPr>
        <w:t>四川省</w:t>
      </w:r>
      <w:r>
        <w:rPr>
          <w:rFonts w:cs="Times New Roman"/>
        </w:rPr>
        <w:t>重点保护野生</w:t>
      </w:r>
      <w:r>
        <w:rPr>
          <w:rFonts w:hint="eastAsia" w:cs="Times New Roman"/>
          <w:lang w:val="en-US" w:eastAsia="zh-CN"/>
        </w:rPr>
        <w:t>植物</w:t>
      </w:r>
      <w:r>
        <w:rPr>
          <w:rFonts w:cs="Times New Roman"/>
        </w:rPr>
        <w:t>名录》</w:t>
      </w:r>
      <w:r>
        <w:rPr>
          <w:rFonts w:hint="eastAsia" w:cs="Times New Roman"/>
        </w:rPr>
        <w:t>（2</w:t>
      </w:r>
      <w:r>
        <w:rPr>
          <w:rFonts w:cs="Times New Roman"/>
        </w:rPr>
        <w:t>0</w:t>
      </w:r>
      <w:r>
        <w:rPr>
          <w:rFonts w:hint="eastAsia" w:cs="Times New Roman"/>
          <w:lang w:val="en-US" w:eastAsia="zh-CN"/>
        </w:rPr>
        <w:t>16</w:t>
      </w:r>
      <w:r>
        <w:rPr>
          <w:rFonts w:hint="eastAsia" w:cs="Times New Roman"/>
        </w:rPr>
        <w:t>年）</w:t>
      </w:r>
    </w:p>
    <w:p>
      <w:pPr>
        <w:ind w:firstLine="480"/>
        <w:rPr>
          <w:rFonts w:cs="Times New Roman"/>
        </w:rPr>
      </w:pPr>
      <w:r>
        <w:rPr>
          <w:rFonts w:hint="eastAsia" w:cs="Times New Roman"/>
        </w:rPr>
        <w:t>（1</w:t>
      </w:r>
      <w:r>
        <w:rPr>
          <w:rFonts w:hint="eastAsia" w:cs="Times New Roman"/>
          <w:lang w:val="en-US" w:eastAsia="zh-CN"/>
        </w:rPr>
        <w:t>7</w:t>
      </w:r>
      <w:r>
        <w:rPr>
          <w:rFonts w:hint="eastAsia" w:cs="Times New Roman"/>
        </w:rPr>
        <w:t>）</w:t>
      </w:r>
      <w:r>
        <w:rPr>
          <w:rFonts w:cs="Times New Roman"/>
        </w:rPr>
        <w:t>《</w:t>
      </w:r>
      <w:r>
        <w:rPr>
          <w:rFonts w:hint="eastAsia" w:cs="Times New Roman"/>
          <w:lang w:val="en-US" w:eastAsia="zh-CN"/>
        </w:rPr>
        <w:t>四川省</w:t>
      </w:r>
      <w:r>
        <w:rPr>
          <w:rFonts w:cs="Times New Roman"/>
        </w:rPr>
        <w:t>重点保护野生动物名录》</w:t>
      </w:r>
      <w:r>
        <w:rPr>
          <w:rFonts w:hint="eastAsia" w:cs="Times New Roman"/>
        </w:rPr>
        <w:t>（</w:t>
      </w:r>
      <w:r>
        <w:rPr>
          <w:rFonts w:hint="eastAsia" w:cs="Times New Roman"/>
          <w:lang w:val="en-US" w:eastAsia="zh-CN"/>
        </w:rPr>
        <w:t>1990</w:t>
      </w:r>
      <w:r>
        <w:rPr>
          <w:rFonts w:hint="eastAsia" w:cs="Times New Roman"/>
        </w:rPr>
        <w:t>年）</w:t>
      </w:r>
    </w:p>
    <w:p>
      <w:pPr>
        <w:pStyle w:val="5"/>
        <w:numPr>
          <w:ilvl w:val="2"/>
          <w:numId w:val="0"/>
        </w:numPr>
        <w:ind w:leftChars="0"/>
        <w:rPr>
          <w:rFonts w:cs="Times New Roman"/>
        </w:rPr>
      </w:pPr>
      <w:r>
        <w:rPr>
          <w:rFonts w:hint="eastAsia" w:cs="Times New Roman"/>
          <w:lang w:val="en-US" w:eastAsia="zh-CN"/>
        </w:rPr>
        <w:t xml:space="preserve">1.4.3 </w:t>
      </w:r>
      <w:r>
        <w:rPr>
          <w:rFonts w:cs="Times New Roman"/>
        </w:rPr>
        <w:t>技术成果与相关批复</w:t>
      </w:r>
    </w:p>
    <w:p>
      <w:pPr>
        <w:ind w:firstLine="480"/>
        <w:rPr>
          <w:rFonts w:cs="Times New Roman"/>
          <w:lang w:val="zh-CN"/>
        </w:rPr>
      </w:pPr>
      <w:r>
        <w:rPr>
          <w:rFonts w:hint="eastAsia" w:cs="Times New Roman"/>
          <w:lang w:val="zh-CN"/>
        </w:rPr>
        <w:t>（1）《国家公路网规划（2013年—2030年）》</w:t>
      </w:r>
    </w:p>
    <w:p>
      <w:pPr>
        <w:ind w:firstLine="480"/>
        <w:rPr>
          <w:rFonts w:cs="Times New Roman"/>
        </w:rPr>
      </w:pPr>
      <w:r>
        <w:rPr>
          <w:rFonts w:hint="eastAsia" w:cs="Times New Roman"/>
        </w:rPr>
        <w:t>（</w:t>
      </w:r>
      <w:r>
        <w:rPr>
          <w:rFonts w:cs="Times New Roman"/>
        </w:rPr>
        <w:t>2</w:t>
      </w:r>
      <w:r>
        <w:rPr>
          <w:rFonts w:hint="eastAsia" w:cs="Times New Roman"/>
        </w:rPr>
        <w:t>）</w:t>
      </w:r>
      <w:r>
        <w:rPr>
          <w:rFonts w:cs="Times New Roman"/>
        </w:rPr>
        <w:t>《</w:t>
      </w:r>
      <w:r>
        <w:rPr>
          <w:rFonts w:hint="eastAsia" w:cs="Times New Roman"/>
        </w:rPr>
        <w:t>阿坝县</w:t>
      </w:r>
      <w:r>
        <w:rPr>
          <w:rFonts w:cs="Times New Roman"/>
        </w:rPr>
        <w:t>莲班路</w:t>
      </w:r>
      <w:r>
        <w:rPr>
          <w:rFonts w:hint="eastAsia" w:cs="Times New Roman"/>
        </w:rPr>
        <w:t>（安斗乡至罗云措沟段）美丽乡村路</w:t>
      </w:r>
      <w:r>
        <w:rPr>
          <w:rFonts w:cs="Times New Roman"/>
        </w:rPr>
        <w:t>可行性研究报告》（</w:t>
      </w:r>
      <w:r>
        <w:rPr>
          <w:rFonts w:hint="eastAsia" w:cs="Times New Roman"/>
        </w:rPr>
        <w:t>中佑勘察设计有限公司</w:t>
      </w:r>
      <w:r>
        <w:rPr>
          <w:rFonts w:cs="Times New Roman"/>
        </w:rPr>
        <w:t>，2021年）</w:t>
      </w:r>
    </w:p>
    <w:p>
      <w:pPr>
        <w:ind w:firstLine="480"/>
        <w:rPr>
          <w:rFonts w:cs="Times New Roman"/>
        </w:rPr>
      </w:pPr>
      <w:r>
        <w:rPr>
          <w:rFonts w:hint="eastAsia" w:cs="Times New Roman"/>
        </w:rPr>
        <w:t>（</w:t>
      </w:r>
      <w:r>
        <w:rPr>
          <w:rFonts w:cs="Times New Roman"/>
        </w:rPr>
        <w:t>3</w:t>
      </w:r>
      <w:r>
        <w:rPr>
          <w:rFonts w:hint="eastAsia" w:cs="Times New Roman"/>
        </w:rPr>
        <w:t>）</w:t>
      </w:r>
      <w:r>
        <w:rPr>
          <w:rFonts w:cs="Times New Roman"/>
        </w:rPr>
        <w:t>《四川</w:t>
      </w:r>
      <w:r>
        <w:rPr>
          <w:rFonts w:hint="eastAsia" w:cs="Times New Roman"/>
        </w:rPr>
        <w:t>阿坝莲宝叶则</w:t>
      </w:r>
      <w:r>
        <w:rPr>
          <w:rFonts w:cs="Times New Roman"/>
        </w:rPr>
        <w:t>省级湿地公园总体规划》（</w:t>
      </w:r>
      <w:r>
        <w:rPr>
          <w:rFonts w:hint="eastAsia" w:cs="Times New Roman"/>
        </w:rPr>
        <w:t>四川</w:t>
      </w:r>
      <w:r>
        <w:rPr>
          <w:rFonts w:cs="Times New Roman"/>
        </w:rPr>
        <w:t>省林科院</w:t>
      </w:r>
      <w:r>
        <w:rPr>
          <w:rFonts w:hint="eastAsia" w:cs="Times New Roman"/>
          <w:lang w:eastAsia="zh-CN"/>
        </w:rPr>
        <w:t>，</w:t>
      </w:r>
      <w:r>
        <w:rPr>
          <w:rFonts w:cs="Times New Roman"/>
        </w:rPr>
        <w:t>2011年12月）</w:t>
      </w:r>
    </w:p>
    <w:p>
      <w:pPr>
        <w:pStyle w:val="3"/>
        <w:numPr>
          <w:ilvl w:val="1"/>
          <w:numId w:val="0"/>
        </w:numPr>
        <w:ind w:leftChars="0"/>
        <w:rPr>
          <w:rFonts w:cs="Times New Roman"/>
        </w:rPr>
      </w:pPr>
      <w:bookmarkStart w:id="7" w:name="_Toc15592"/>
      <w:r>
        <w:rPr>
          <w:rFonts w:hint="eastAsia" w:cs="Times New Roman"/>
          <w:lang w:val="en-US" w:eastAsia="zh-CN"/>
        </w:rPr>
        <w:t xml:space="preserve">1.5 </w:t>
      </w:r>
      <w:r>
        <w:rPr>
          <w:rFonts w:cs="Times New Roman"/>
        </w:rPr>
        <w:t>评价目的与意义</w:t>
      </w:r>
      <w:bookmarkEnd w:id="7"/>
    </w:p>
    <w:p>
      <w:pPr>
        <w:widowControl/>
        <w:ind w:firstLine="480"/>
        <w:rPr>
          <w:rFonts w:cs="Times New Roman"/>
          <w:kern w:val="0"/>
        </w:rPr>
      </w:pPr>
      <w:r>
        <w:rPr>
          <w:rFonts w:cs="Times New Roman"/>
          <w:kern w:val="0"/>
        </w:rPr>
        <w:t>湿地公园是指以水为主体的</w:t>
      </w:r>
      <w:r>
        <w:fldChar w:fldCharType="begin"/>
      </w:r>
      <w:r>
        <w:instrText xml:space="preserve"> HYPERLINK "https://baike.baidu.com/item/%E5%85%AC%E5%9B%AD/4591" \t "https://baike.baidu.com/item/%E6%B9%BF%E5%9C%B0%E5%85%AC%E5%9B%AD/_blank" </w:instrText>
      </w:r>
      <w:r>
        <w:fldChar w:fldCharType="separate"/>
      </w:r>
      <w:r>
        <w:rPr>
          <w:rFonts w:cs="Times New Roman"/>
          <w:kern w:val="0"/>
        </w:rPr>
        <w:t>公园</w:t>
      </w:r>
      <w:r>
        <w:rPr>
          <w:rFonts w:cs="Times New Roman"/>
          <w:kern w:val="0"/>
        </w:rPr>
        <w:fldChar w:fldCharType="end"/>
      </w:r>
      <w:r>
        <w:rPr>
          <w:rFonts w:cs="Times New Roman"/>
          <w:kern w:val="0"/>
        </w:rPr>
        <w:t>，以</w:t>
      </w:r>
      <w:r>
        <w:fldChar w:fldCharType="begin"/>
      </w:r>
      <w:r>
        <w:instrText xml:space="preserve"> HYPERLINK "https://baike.baidu.com/item/%E6%B9%BF%E5%9C%B0/27043" \t "https://baike.baidu.com/item/%E6%B9%BF%E5%9C%B0%E5%85%AC%E5%9B%AD/_blank" </w:instrText>
      </w:r>
      <w:r>
        <w:fldChar w:fldCharType="separate"/>
      </w:r>
      <w:r>
        <w:rPr>
          <w:rFonts w:cs="Times New Roman"/>
          <w:kern w:val="0"/>
        </w:rPr>
        <w:t>湿地</w:t>
      </w:r>
      <w:r>
        <w:rPr>
          <w:rFonts w:cs="Times New Roman"/>
          <w:kern w:val="0"/>
        </w:rPr>
        <w:fldChar w:fldCharType="end"/>
      </w:r>
      <w:r>
        <w:rPr>
          <w:rFonts w:cs="Times New Roman"/>
          <w:kern w:val="0"/>
        </w:rPr>
        <w:t>良好</w:t>
      </w:r>
      <w:r>
        <w:fldChar w:fldCharType="begin"/>
      </w:r>
      <w:r>
        <w:instrText xml:space="preserve"> HYPERLINK "https://baike.baidu.com/item/%E7%94%9F%E6%80%81%E7%8E%AF%E5%A2%83/84119" \t "https://baike.baidu.com/item/%E6%B9%BF%E5%9C%B0%E5%85%AC%E5%9B%AD/_blank" </w:instrText>
      </w:r>
      <w:r>
        <w:fldChar w:fldCharType="separate"/>
      </w:r>
      <w:r>
        <w:rPr>
          <w:rFonts w:cs="Times New Roman"/>
          <w:kern w:val="0"/>
        </w:rPr>
        <w:t>生态环境</w:t>
      </w:r>
      <w:r>
        <w:rPr>
          <w:rFonts w:cs="Times New Roman"/>
          <w:kern w:val="0"/>
        </w:rPr>
        <w:fldChar w:fldCharType="end"/>
      </w:r>
      <w:r>
        <w:rPr>
          <w:rFonts w:cs="Times New Roman"/>
          <w:kern w:val="0"/>
        </w:rPr>
        <w:t>和多样化</w:t>
      </w:r>
      <w:r>
        <w:fldChar w:fldCharType="begin"/>
      </w:r>
      <w:r>
        <w:instrText xml:space="preserve"> HYPERLINK "https://baike.baidu.com/item/%E6%B9%BF%E5%9C%B0%E6%99%AF%E8%A7%82" \t "https://baike.baidu.com/item/%E6%B9%BF%E5%9C%B0%E5%85%AC%E5%9B%AD/_blank" </w:instrText>
      </w:r>
      <w:r>
        <w:fldChar w:fldCharType="separate"/>
      </w:r>
      <w:r>
        <w:rPr>
          <w:rFonts w:cs="Times New Roman"/>
          <w:kern w:val="0"/>
        </w:rPr>
        <w:t>湿地景观</w:t>
      </w:r>
      <w:r>
        <w:rPr>
          <w:rFonts w:cs="Times New Roman"/>
          <w:kern w:val="0"/>
        </w:rPr>
        <w:fldChar w:fldCharType="end"/>
      </w:r>
      <w:r>
        <w:rPr>
          <w:rFonts w:cs="Times New Roman"/>
          <w:kern w:val="0"/>
        </w:rPr>
        <w:t>资源为基础，以</w:t>
      </w:r>
      <w:r>
        <w:fldChar w:fldCharType="begin"/>
      </w:r>
      <w:r>
        <w:instrText xml:space="preserve"> HYPERLINK "https://baike.baidu.com/item/%E6%B9%BF%E5%9C%B0/27043" \t "https://baike.baidu.com/item/%E6%B9%BF%E5%9C%B0%E5%85%AC%E5%9B%AD/_blank" </w:instrText>
      </w:r>
      <w:r>
        <w:fldChar w:fldCharType="separate"/>
      </w:r>
      <w:r>
        <w:rPr>
          <w:rFonts w:cs="Times New Roman"/>
          <w:kern w:val="0"/>
        </w:rPr>
        <w:t>湿地</w:t>
      </w:r>
      <w:r>
        <w:rPr>
          <w:rFonts w:cs="Times New Roman"/>
          <w:kern w:val="0"/>
        </w:rPr>
        <w:fldChar w:fldCharType="end"/>
      </w:r>
      <w:r>
        <w:rPr>
          <w:rFonts w:cs="Times New Roman"/>
          <w:kern w:val="0"/>
        </w:rPr>
        <w:t>的科普宣教、湿地功能利用、弘扬湿地文化等为主题，并建有一定规模的旅游休闲设施，可供人们</w:t>
      </w:r>
      <w:r>
        <w:fldChar w:fldCharType="begin"/>
      </w:r>
      <w:r>
        <w:instrText xml:space="preserve"> HYPERLINK "https://baike.baidu.com/item/%E6%97%85%E6%B8%B8" \t "https://baike.baidu.com/item/%E6%B9%BF%E5%9C%B0%E5%85%AC%E5%9B%AD/_blank" </w:instrText>
      </w:r>
      <w:r>
        <w:fldChar w:fldCharType="separate"/>
      </w:r>
      <w:r>
        <w:rPr>
          <w:rFonts w:cs="Times New Roman"/>
          <w:kern w:val="0"/>
        </w:rPr>
        <w:t>旅游</w:t>
      </w:r>
      <w:r>
        <w:rPr>
          <w:rFonts w:cs="Times New Roman"/>
          <w:kern w:val="0"/>
        </w:rPr>
        <w:fldChar w:fldCharType="end"/>
      </w:r>
      <w:r>
        <w:rPr>
          <w:rFonts w:cs="Times New Roman"/>
          <w:kern w:val="0"/>
        </w:rPr>
        <w:t>观光、休闲娱乐的</w:t>
      </w:r>
      <w:r>
        <w:rPr>
          <w:rFonts w:hint="eastAsia" w:cs="Times New Roman"/>
          <w:kern w:val="0"/>
          <w:lang w:val="en-US" w:eastAsia="zh-CN"/>
        </w:rPr>
        <w:t>自然</w:t>
      </w:r>
      <w:r>
        <w:rPr>
          <w:rFonts w:cs="Times New Roman"/>
          <w:kern w:val="0"/>
        </w:rPr>
        <w:t>公园。</w:t>
      </w:r>
      <w:r>
        <w:rPr>
          <w:rFonts w:hint="eastAsia" w:cs="Times New Roman"/>
          <w:kern w:val="0"/>
          <w:lang w:val="en-US" w:eastAsia="zh-CN"/>
        </w:rPr>
        <w:t>因此，</w:t>
      </w:r>
      <w:r>
        <w:rPr>
          <w:rFonts w:cs="Times New Roman"/>
          <w:kern w:val="0"/>
        </w:rPr>
        <w:t>湿地公园要有生态和景观资源条件，并且资源要得到有效保护；</w:t>
      </w:r>
      <w:r>
        <w:rPr>
          <w:rFonts w:hint="eastAsia" w:cs="Times New Roman"/>
          <w:kern w:val="0"/>
          <w:lang w:val="en-US" w:eastAsia="zh-CN"/>
        </w:rPr>
        <w:t>要</w:t>
      </w:r>
      <w:r>
        <w:rPr>
          <w:rFonts w:cs="Times New Roman"/>
          <w:kern w:val="0"/>
        </w:rPr>
        <w:t>具备一定基础设施条件，要有很好的通达性，公园的价值才能得到体现。</w:t>
      </w:r>
    </w:p>
    <w:p>
      <w:pPr>
        <w:widowControl/>
        <w:ind w:firstLine="480"/>
        <w:rPr>
          <w:rFonts w:cs="Times New Roman"/>
          <w:kern w:val="0"/>
        </w:rPr>
      </w:pPr>
      <w:r>
        <w:rPr>
          <w:rFonts w:hint="eastAsia" w:cs="Times New Roman"/>
          <w:kern w:val="0"/>
        </w:rPr>
        <w:t>根据项目规划材料，此道路符合《阿坝县“十四五”综合交通发展规划（2</w:t>
      </w:r>
      <w:r>
        <w:rPr>
          <w:rFonts w:cs="Times New Roman"/>
          <w:kern w:val="0"/>
        </w:rPr>
        <w:t>021-2025</w:t>
      </w:r>
      <w:r>
        <w:rPr>
          <w:rFonts w:hint="eastAsia" w:cs="Times New Roman"/>
          <w:kern w:val="0"/>
        </w:rPr>
        <w:t>）》要求，对完善地区公路网、促进旅游资源开发、维护民族团结具有重大意义</w:t>
      </w:r>
      <w:r>
        <w:rPr>
          <w:rFonts w:cs="Times New Roman"/>
          <w:snapToGrid w:val="0"/>
          <w:kern w:val="0"/>
        </w:rPr>
        <w:t>。</w:t>
      </w:r>
      <w:r>
        <w:rPr>
          <w:rFonts w:cs="Times New Roman"/>
          <w:kern w:val="0"/>
        </w:rPr>
        <w:t>根据</w:t>
      </w:r>
      <w:r>
        <w:rPr>
          <w:rFonts w:cs="Times New Roman"/>
        </w:rPr>
        <w:t>公路工程的布局、建设内容、占地、施工方案等建设影响因素，</w:t>
      </w:r>
      <w:r>
        <w:rPr>
          <w:rFonts w:cs="Times New Roman"/>
          <w:kern w:val="0"/>
        </w:rPr>
        <w:t>本评价报告拟从以下4个方面评估</w:t>
      </w:r>
      <w:r>
        <w:rPr>
          <w:rFonts w:cs="Times New Roman"/>
        </w:rPr>
        <w:t>工程实施对湿地公园的影响，分析建设的可行性，进一步提出建设和运营期的生态保护措施，促进人与自然的和谐。</w:t>
      </w:r>
    </w:p>
    <w:p>
      <w:pPr>
        <w:widowControl/>
        <w:ind w:firstLine="480"/>
        <w:rPr>
          <w:rFonts w:cs="Times New Roman"/>
          <w:kern w:val="0"/>
        </w:rPr>
      </w:pPr>
      <w:r>
        <w:rPr>
          <w:rFonts w:cs="Times New Roman"/>
          <w:kern w:val="0"/>
        </w:rPr>
        <w:t>（1）对湿地公园生态环境的影响评价；</w:t>
      </w:r>
    </w:p>
    <w:p>
      <w:pPr>
        <w:widowControl/>
        <w:ind w:firstLine="480"/>
        <w:rPr>
          <w:rFonts w:cs="Times New Roman"/>
          <w:kern w:val="0"/>
        </w:rPr>
      </w:pPr>
      <w:r>
        <w:rPr>
          <w:rFonts w:cs="Times New Roman"/>
          <w:kern w:val="0"/>
        </w:rPr>
        <w:t>（2）对湿地公园多样化湿地景观的影响评价；</w:t>
      </w:r>
    </w:p>
    <w:p>
      <w:pPr>
        <w:widowControl/>
        <w:ind w:firstLine="480"/>
        <w:rPr>
          <w:rFonts w:cs="Times New Roman"/>
          <w:kern w:val="0"/>
        </w:rPr>
      </w:pPr>
      <w:r>
        <w:rPr>
          <w:rFonts w:cs="Times New Roman"/>
          <w:kern w:val="0"/>
        </w:rPr>
        <w:t>（3）对湿地公园</w:t>
      </w:r>
      <w:r>
        <w:rPr>
          <w:rFonts w:cs="Times New Roman"/>
        </w:rPr>
        <w:t>湿地保护与可持续利用</w:t>
      </w:r>
      <w:r>
        <w:rPr>
          <w:rFonts w:cs="Times New Roman"/>
          <w:kern w:val="0"/>
        </w:rPr>
        <w:t>的影响评价；</w:t>
      </w:r>
    </w:p>
    <w:p>
      <w:pPr>
        <w:ind w:firstLine="480"/>
        <w:rPr>
          <w:rFonts w:cs="Times New Roman"/>
          <w:kern w:val="0"/>
        </w:rPr>
      </w:pPr>
      <w:r>
        <w:rPr>
          <w:rFonts w:cs="Times New Roman"/>
          <w:kern w:val="0"/>
        </w:rPr>
        <w:t>（4）对湿地公园</w:t>
      </w:r>
      <w:r>
        <w:rPr>
          <w:rFonts w:cs="Times New Roman"/>
        </w:rPr>
        <w:t>湿地功能效益的</w:t>
      </w:r>
      <w:r>
        <w:rPr>
          <w:rFonts w:cs="Times New Roman"/>
          <w:kern w:val="0"/>
        </w:rPr>
        <w:t>影响评价。</w:t>
      </w:r>
      <w:r>
        <w:rPr>
          <w:rFonts w:cs="Times New Roman"/>
          <w:kern w:val="0"/>
        </w:rPr>
        <w:br w:type="page"/>
      </w:r>
    </w:p>
    <w:p>
      <w:pPr>
        <w:pStyle w:val="2"/>
        <w:numPr>
          <w:ilvl w:val="0"/>
          <w:numId w:val="0"/>
        </w:numPr>
        <w:ind w:leftChars="0"/>
        <w:rPr>
          <w:rFonts w:cs="Times New Roman"/>
        </w:rPr>
      </w:pPr>
      <w:bookmarkStart w:id="8" w:name="_Toc10618"/>
      <w:r>
        <w:rPr>
          <w:rFonts w:hint="eastAsia" w:cs="Times New Roman"/>
          <w:lang w:val="en-US" w:eastAsia="zh-CN"/>
        </w:rPr>
        <w:t xml:space="preserve">2 </w:t>
      </w:r>
      <w:r>
        <w:rPr>
          <w:rFonts w:cs="Times New Roman"/>
        </w:rPr>
        <w:t>工程建设概况</w:t>
      </w:r>
      <w:bookmarkEnd w:id="8"/>
    </w:p>
    <w:p>
      <w:pPr>
        <w:pStyle w:val="3"/>
        <w:numPr>
          <w:ilvl w:val="1"/>
          <w:numId w:val="0"/>
        </w:numPr>
        <w:ind w:leftChars="0"/>
        <w:rPr>
          <w:rFonts w:cs="Times New Roman"/>
        </w:rPr>
      </w:pPr>
      <w:bookmarkStart w:id="9" w:name="_Toc15534"/>
      <w:r>
        <w:rPr>
          <w:rFonts w:hint="eastAsia" w:cs="Times New Roman"/>
          <w:lang w:val="en-US" w:eastAsia="zh-CN"/>
        </w:rPr>
        <w:t xml:space="preserve">2.1 </w:t>
      </w:r>
      <w:r>
        <w:rPr>
          <w:rFonts w:cs="Times New Roman"/>
        </w:rPr>
        <w:t>项目基本情况</w:t>
      </w:r>
      <w:bookmarkEnd w:id="9"/>
    </w:p>
    <w:p>
      <w:pPr>
        <w:pStyle w:val="5"/>
        <w:numPr>
          <w:ilvl w:val="2"/>
          <w:numId w:val="0"/>
        </w:numPr>
        <w:ind w:leftChars="0"/>
        <w:rPr>
          <w:rFonts w:cs="Times New Roman"/>
        </w:rPr>
      </w:pPr>
      <w:r>
        <w:rPr>
          <w:rFonts w:hint="eastAsia" w:cs="Times New Roman"/>
          <w:lang w:val="en-US" w:eastAsia="zh-CN"/>
        </w:rPr>
        <w:t xml:space="preserve">2.1.1 </w:t>
      </w:r>
      <w:r>
        <w:rPr>
          <w:rFonts w:cs="Times New Roman"/>
        </w:rPr>
        <w:t>基本情况</w:t>
      </w:r>
    </w:p>
    <w:p>
      <w:pPr>
        <w:ind w:firstLine="482"/>
        <w:rPr>
          <w:rFonts w:cs="Times New Roman"/>
        </w:rPr>
      </w:pPr>
      <w:r>
        <w:rPr>
          <w:rFonts w:cs="Times New Roman"/>
          <w:b/>
        </w:rPr>
        <w:t>项目名称</w:t>
      </w:r>
      <w:r>
        <w:rPr>
          <w:rFonts w:cs="Times New Roman"/>
        </w:rPr>
        <w:t>：</w:t>
      </w:r>
      <w:r>
        <w:rPr>
          <w:rFonts w:hint="eastAsia" w:cs="Times New Roman"/>
        </w:rPr>
        <w:t>阿坝县莲班路（安斗乡至罗云措沟段）美丽乡村路建设</w:t>
      </w:r>
    </w:p>
    <w:p>
      <w:pPr>
        <w:ind w:firstLine="482"/>
        <w:rPr>
          <w:rFonts w:hint="eastAsia" w:eastAsia="宋体" w:cs="Times New Roman"/>
          <w:lang w:eastAsia="zh-CN"/>
        </w:rPr>
      </w:pPr>
      <w:r>
        <w:rPr>
          <w:rFonts w:cs="Times New Roman"/>
          <w:b/>
        </w:rPr>
        <w:t>项目性质</w:t>
      </w:r>
      <w:r>
        <w:rPr>
          <w:rFonts w:cs="Times New Roman"/>
        </w:rPr>
        <w:t>：</w:t>
      </w:r>
      <w:r>
        <w:rPr>
          <w:rFonts w:hint="eastAsia" w:cs="Times New Roman"/>
          <w:lang w:val="en-US" w:eastAsia="zh-CN"/>
        </w:rPr>
        <w:t>改建</w:t>
      </w:r>
    </w:p>
    <w:p>
      <w:pPr>
        <w:ind w:firstLine="482"/>
        <w:rPr>
          <w:rFonts w:cs="Times New Roman"/>
          <w:color w:val="auto"/>
          <w:highlight w:val="none"/>
        </w:rPr>
      </w:pPr>
      <w:r>
        <w:rPr>
          <w:rFonts w:cs="Times New Roman"/>
          <w:b/>
        </w:rPr>
        <w:t>项目批准机关</w:t>
      </w:r>
      <w:r>
        <w:rPr>
          <w:rFonts w:cs="Times New Roman"/>
        </w:rPr>
        <w:t>：</w:t>
      </w:r>
      <w:r>
        <w:rPr>
          <w:rFonts w:hint="eastAsia" w:cs="Times New Roman"/>
          <w:color w:val="auto"/>
          <w:highlight w:val="none"/>
        </w:rPr>
        <w:t>阿坝县发展和改革局</w:t>
      </w:r>
    </w:p>
    <w:p>
      <w:pPr>
        <w:ind w:firstLine="482"/>
        <w:rPr>
          <w:rFonts w:cs="Times New Roman"/>
        </w:rPr>
      </w:pPr>
      <w:r>
        <w:rPr>
          <w:rFonts w:cs="Times New Roman"/>
          <w:b/>
        </w:rPr>
        <w:t>项目建设地点</w:t>
      </w:r>
      <w:r>
        <w:rPr>
          <w:rFonts w:cs="Times New Roman"/>
        </w:rPr>
        <w:t>：</w:t>
      </w:r>
      <w:r>
        <w:rPr>
          <w:rFonts w:hint="eastAsia" w:cs="Times New Roman"/>
        </w:rPr>
        <w:t>阿坝</w:t>
      </w:r>
      <w:r>
        <w:rPr>
          <w:rFonts w:cs="Times New Roman"/>
        </w:rPr>
        <w:t>州</w:t>
      </w:r>
      <w:r>
        <w:rPr>
          <w:rFonts w:hint="eastAsia" w:cs="Times New Roman"/>
        </w:rPr>
        <w:t>阿坝县</w:t>
      </w:r>
      <w:r>
        <w:rPr>
          <w:rFonts w:cs="Times New Roman"/>
        </w:rPr>
        <w:t>安斗乡</w:t>
      </w:r>
    </w:p>
    <w:p>
      <w:pPr>
        <w:ind w:firstLine="480"/>
        <w:rPr>
          <w:rFonts w:cs="Times New Roman"/>
        </w:rPr>
      </w:pPr>
      <w:r>
        <w:rPr>
          <w:rFonts w:cs="Times New Roman"/>
        </w:rPr>
        <w:t>本项目包含两条道路</w:t>
      </w:r>
      <w:r>
        <w:rPr>
          <w:rFonts w:hint="eastAsia" w:cs="Times New Roman"/>
        </w:rPr>
        <w:t>，其中阿莲路起点位于安斗乡场镇外，沿既有莲宝叶则公路走向，路线终点止于莲宝叶则公路珠姆措沟路口；珠姆措路线起点位于莲宝叶则公路，沿既有珠姆措景区向北延伸，路线终点止于珠姆措风景区停车场。</w:t>
      </w:r>
    </w:p>
    <w:p>
      <w:pPr>
        <w:pStyle w:val="5"/>
        <w:numPr>
          <w:ilvl w:val="2"/>
          <w:numId w:val="0"/>
        </w:numPr>
        <w:ind w:leftChars="0"/>
        <w:rPr>
          <w:rFonts w:cs="Times New Roman"/>
        </w:rPr>
      </w:pPr>
      <w:r>
        <w:rPr>
          <w:rFonts w:hint="eastAsia" w:cs="Times New Roman"/>
          <w:lang w:val="en-US" w:eastAsia="zh-CN"/>
        </w:rPr>
        <w:t xml:space="preserve">2.1.2 </w:t>
      </w:r>
      <w:r>
        <w:rPr>
          <w:rFonts w:cs="Times New Roman"/>
        </w:rPr>
        <w:t>建设规模与技术标准</w:t>
      </w:r>
    </w:p>
    <w:p>
      <w:pPr>
        <w:pStyle w:val="6"/>
        <w:numPr>
          <w:ilvl w:val="3"/>
          <w:numId w:val="0"/>
        </w:numPr>
        <w:rPr>
          <w:rFonts w:hint="eastAsia"/>
        </w:rPr>
      </w:pPr>
      <w:r>
        <w:rPr>
          <w:rFonts w:hint="eastAsia"/>
          <w:lang w:val="en-US" w:eastAsia="zh-CN"/>
        </w:rPr>
        <w:t>2</w:t>
      </w:r>
      <w:r>
        <w:rPr>
          <w:rFonts w:hint="eastAsia"/>
        </w:rPr>
        <w:t>.</w:t>
      </w:r>
      <w:r>
        <w:rPr>
          <w:rFonts w:hint="eastAsia"/>
          <w:lang w:val="en-US" w:eastAsia="zh-CN"/>
        </w:rPr>
        <w:t>1</w:t>
      </w:r>
      <w:r>
        <w:rPr>
          <w:rFonts w:hint="eastAsia"/>
        </w:rPr>
        <w:t>.2.1建设规模</w:t>
      </w:r>
    </w:p>
    <w:p>
      <w:pPr>
        <w:ind w:firstLine="480"/>
        <w:rPr>
          <w:rFonts w:hint="eastAsia" w:cs="Times New Roman"/>
        </w:rPr>
      </w:pPr>
      <w:r>
        <w:rPr>
          <w:rFonts w:hint="eastAsia" w:cs="Times New Roman"/>
        </w:rPr>
        <w:t>本项目共涉及两条公路，路线总长约43.673 km。阿莲路全长33.599</w:t>
      </w:r>
      <w:r>
        <w:rPr>
          <w:rFonts w:cs="Times New Roman"/>
        </w:rPr>
        <w:t xml:space="preserve"> </w:t>
      </w:r>
      <w:r>
        <w:rPr>
          <w:rFonts w:hint="eastAsia" w:cs="Times New Roman"/>
        </w:rPr>
        <w:t>km，路线主要沿原路布线，K0+000</w:t>
      </w:r>
      <w:r>
        <w:rPr>
          <w:rFonts w:hint="eastAsia" w:cs="Times New Roman"/>
          <w:lang w:val="en-US" w:eastAsia="zh-CN"/>
        </w:rPr>
        <w:t>-</w:t>
      </w:r>
      <w:r>
        <w:rPr>
          <w:rFonts w:hint="eastAsia" w:cs="Times New Roman"/>
        </w:rPr>
        <w:t>K24+664.133段设计采用时速为30</w:t>
      </w:r>
      <w:r>
        <w:rPr>
          <w:rFonts w:cs="Times New Roman"/>
        </w:rPr>
        <w:t xml:space="preserve"> </w:t>
      </w:r>
      <w:r>
        <w:rPr>
          <w:rFonts w:hint="eastAsia" w:cs="Times New Roman"/>
        </w:rPr>
        <w:t>km/h的双车道三级公路建设指标，路基宽8.5</w:t>
      </w:r>
      <w:r>
        <w:rPr>
          <w:rFonts w:cs="Times New Roman"/>
        </w:rPr>
        <w:t xml:space="preserve"> </w:t>
      </w:r>
      <w:r>
        <w:rPr>
          <w:rFonts w:hint="eastAsia" w:cs="Times New Roman"/>
        </w:rPr>
        <w:t>m，其中K2+091.308</w:t>
      </w:r>
      <w:r>
        <w:rPr>
          <w:rFonts w:hint="eastAsia" w:cs="Times New Roman"/>
          <w:lang w:val="en-US" w:eastAsia="zh-CN"/>
        </w:rPr>
        <w:t>-</w:t>
      </w:r>
      <w:r>
        <w:rPr>
          <w:rFonts w:hint="eastAsia" w:cs="Times New Roman"/>
        </w:rPr>
        <w:t>K2+155.533段为避免增加过多投资适当降低指标，路基宽度采用6.5</w:t>
      </w:r>
      <w:r>
        <w:rPr>
          <w:rFonts w:cs="Times New Roman"/>
        </w:rPr>
        <w:t xml:space="preserve"> </w:t>
      </w:r>
      <w:r>
        <w:rPr>
          <w:rFonts w:hint="eastAsia" w:cs="Times New Roman"/>
        </w:rPr>
        <w:t>m</w:t>
      </w:r>
      <w:r>
        <w:rPr>
          <w:rFonts w:hint="eastAsia" w:cs="Times New Roman"/>
          <w:lang w:eastAsia="zh-CN"/>
        </w:rPr>
        <w:t>，</w:t>
      </w:r>
      <w:r>
        <w:rPr>
          <w:rFonts w:hint="eastAsia" w:cs="Times New Roman"/>
        </w:rPr>
        <w:t>K24+664.133</w:t>
      </w:r>
      <w:r>
        <w:rPr>
          <w:rFonts w:hint="eastAsia" w:cs="Times New Roman"/>
          <w:lang w:val="en-US" w:eastAsia="zh-CN"/>
        </w:rPr>
        <w:t>-</w:t>
      </w:r>
      <w:r>
        <w:rPr>
          <w:rFonts w:hint="eastAsia" w:cs="Times New Roman"/>
        </w:rPr>
        <w:t>K33+598.620段保持原路宽度6.5</w:t>
      </w:r>
      <w:r>
        <w:rPr>
          <w:rFonts w:cs="Times New Roman"/>
        </w:rPr>
        <w:t xml:space="preserve"> </w:t>
      </w:r>
      <w:r>
        <w:rPr>
          <w:rFonts w:hint="eastAsia" w:cs="Times New Roman"/>
        </w:rPr>
        <w:t>m不变，加铺单层沥青混凝土面层；珠姆措</w:t>
      </w:r>
      <w:r>
        <w:rPr>
          <w:rFonts w:hint="eastAsia" w:cs="Times New Roman"/>
          <w:lang w:val="en-US" w:eastAsia="zh-CN"/>
        </w:rPr>
        <w:t>路</w:t>
      </w:r>
      <w:r>
        <w:rPr>
          <w:rFonts w:hint="eastAsia" w:cs="Times New Roman"/>
        </w:rPr>
        <w:t>全长10.074</w:t>
      </w:r>
      <w:r>
        <w:rPr>
          <w:rFonts w:cs="Times New Roman"/>
        </w:rPr>
        <w:t xml:space="preserve"> </w:t>
      </w:r>
      <w:r>
        <w:rPr>
          <w:rFonts w:hint="eastAsia" w:cs="Times New Roman"/>
        </w:rPr>
        <w:t>km，设计采用时速为30</w:t>
      </w:r>
      <w:r>
        <w:rPr>
          <w:rFonts w:cs="Times New Roman"/>
        </w:rPr>
        <w:t xml:space="preserve"> </w:t>
      </w:r>
      <w:r>
        <w:rPr>
          <w:rFonts w:hint="eastAsia" w:cs="Times New Roman"/>
        </w:rPr>
        <w:t>km/h的双车道四级公路建设指标，路基宽7.5</w:t>
      </w:r>
      <w:r>
        <w:rPr>
          <w:rFonts w:cs="Times New Roman"/>
        </w:rPr>
        <w:t xml:space="preserve"> </w:t>
      </w:r>
      <w:r>
        <w:rPr>
          <w:rFonts w:hint="eastAsia" w:cs="Times New Roman"/>
        </w:rPr>
        <w:t>m，路线主要沿原路布线，沿线布设10</w:t>
      </w:r>
      <w:r>
        <w:rPr>
          <w:rFonts w:cs="Times New Roman"/>
        </w:rPr>
        <w:t xml:space="preserve"> </w:t>
      </w:r>
      <w:r>
        <w:rPr>
          <w:rFonts w:hint="eastAsia" w:cs="Times New Roman"/>
        </w:rPr>
        <w:t>KV电缆共10.074 km，新建一处游客中心约300</w:t>
      </w:r>
      <w:r>
        <w:rPr>
          <w:rFonts w:cs="Times New Roman"/>
        </w:rPr>
        <w:t xml:space="preserve"> </w:t>
      </w:r>
      <w:r>
        <w:rPr>
          <w:rFonts w:hint="eastAsia" w:cs="Times New Roman"/>
        </w:rPr>
        <w:t>m</w:t>
      </w:r>
      <w:r>
        <w:rPr>
          <w:rFonts w:cs="Times New Roman"/>
          <w:vertAlign w:val="superscript"/>
        </w:rPr>
        <w:t>2</w:t>
      </w:r>
      <w:r>
        <w:rPr>
          <w:rFonts w:hint="eastAsia" w:cs="Times New Roman"/>
        </w:rPr>
        <w:t>及5000 m</w:t>
      </w:r>
      <w:r>
        <w:rPr>
          <w:rFonts w:cs="Times New Roman"/>
          <w:vertAlign w:val="superscript"/>
        </w:rPr>
        <w:t>2</w:t>
      </w:r>
      <w:r>
        <w:rPr>
          <w:rFonts w:hint="eastAsia" w:cs="Times New Roman"/>
        </w:rPr>
        <w:t>停车场。</w:t>
      </w:r>
    </w:p>
    <w:p>
      <w:pPr>
        <w:pStyle w:val="25"/>
        <w:rPr>
          <w:rFonts w:hint="eastAsia" w:cs="Times New Roman"/>
        </w:rPr>
      </w:pPr>
    </w:p>
    <w:p>
      <w:pPr>
        <w:pStyle w:val="25"/>
        <w:rPr>
          <w:rFonts w:hint="eastAsia" w:cs="Times New Roman"/>
        </w:rPr>
      </w:pPr>
    </w:p>
    <w:p>
      <w:pPr>
        <w:pStyle w:val="25"/>
        <w:rPr>
          <w:rFonts w:hint="eastAsia" w:cs="Times New Roman"/>
        </w:rPr>
      </w:pPr>
    </w:p>
    <w:p>
      <w:pPr>
        <w:pStyle w:val="25"/>
        <w:rPr>
          <w:rFonts w:hint="eastAsia" w:cs="Times New Roman"/>
        </w:rPr>
      </w:pPr>
    </w:p>
    <w:p>
      <w:pPr>
        <w:ind w:firstLine="0" w:firstLineChars="0"/>
        <w:jc w:val="center"/>
        <w:rPr>
          <w:rFonts w:cs="Times New Roman"/>
          <w:b/>
          <w:szCs w:val="24"/>
        </w:rPr>
      </w:pPr>
      <w:r>
        <w:rPr>
          <w:rFonts w:cs="Times New Roman"/>
          <w:b/>
          <w:szCs w:val="24"/>
        </w:rPr>
        <w:t>表</w:t>
      </w:r>
      <w:r>
        <w:rPr>
          <w:rFonts w:hint="eastAsia" w:cs="Times New Roman"/>
          <w:b/>
          <w:szCs w:val="24"/>
          <w:lang w:val="en-US" w:eastAsia="zh-CN"/>
        </w:rPr>
        <w:t>2</w:t>
      </w:r>
      <w:r>
        <w:rPr>
          <w:rFonts w:hint="eastAsia" w:cs="Times New Roman"/>
          <w:b/>
          <w:szCs w:val="24"/>
        </w:rPr>
        <w:t>-1阿莲路工程规模一览</w:t>
      </w:r>
      <w:r>
        <w:rPr>
          <w:rFonts w:cs="Times New Roman"/>
          <w:b/>
          <w:szCs w:val="24"/>
        </w:rPr>
        <w:t>表</w:t>
      </w:r>
    </w:p>
    <w:tbl>
      <w:tblPr>
        <w:tblStyle w:val="4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30" w:type="dxa"/>
          <w:bottom w:w="0" w:type="dxa"/>
          <w:right w:w="30" w:type="dxa"/>
        </w:tblCellMar>
      </w:tblPr>
      <w:tblGrid>
        <w:gridCol w:w="1046"/>
        <w:gridCol w:w="2413"/>
        <w:gridCol w:w="934"/>
        <w:gridCol w:w="1462"/>
        <w:gridCol w:w="25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b/>
                <w:bCs/>
                <w:snapToGrid w:val="0"/>
                <w:kern w:val="0"/>
                <w:sz w:val="21"/>
                <w:szCs w:val="21"/>
              </w:rPr>
            </w:pPr>
            <w:r>
              <w:rPr>
                <w:rFonts w:cs="Times New Roman"/>
                <w:b/>
                <w:bCs/>
                <w:snapToGrid w:val="0"/>
                <w:kern w:val="0"/>
                <w:sz w:val="21"/>
                <w:szCs w:val="21"/>
              </w:rPr>
              <w:t>序号</w:t>
            </w:r>
          </w:p>
        </w:tc>
        <w:tc>
          <w:tcPr>
            <w:tcW w:w="1441" w:type="pct"/>
            <w:vAlign w:val="center"/>
          </w:tcPr>
          <w:p>
            <w:pPr>
              <w:autoSpaceDE w:val="0"/>
              <w:autoSpaceDN w:val="0"/>
              <w:spacing w:line="240" w:lineRule="auto"/>
              <w:ind w:firstLine="0" w:firstLineChars="0"/>
              <w:jc w:val="center"/>
              <w:rPr>
                <w:rFonts w:cs="Times New Roman"/>
                <w:b/>
                <w:bCs/>
                <w:snapToGrid w:val="0"/>
                <w:kern w:val="0"/>
                <w:sz w:val="21"/>
                <w:szCs w:val="21"/>
              </w:rPr>
            </w:pPr>
            <w:r>
              <w:rPr>
                <w:rFonts w:cs="Times New Roman"/>
                <w:b/>
                <w:bCs/>
                <w:snapToGrid w:val="0"/>
                <w:kern w:val="0"/>
                <w:sz w:val="21"/>
                <w:szCs w:val="21"/>
              </w:rPr>
              <w:t>名称</w:t>
            </w:r>
          </w:p>
        </w:tc>
        <w:tc>
          <w:tcPr>
            <w:tcW w:w="558" w:type="pct"/>
            <w:vAlign w:val="center"/>
          </w:tcPr>
          <w:p>
            <w:pPr>
              <w:autoSpaceDE w:val="0"/>
              <w:autoSpaceDN w:val="0"/>
              <w:spacing w:line="240" w:lineRule="auto"/>
              <w:ind w:firstLine="0" w:firstLineChars="0"/>
              <w:jc w:val="center"/>
              <w:rPr>
                <w:rFonts w:cs="Times New Roman"/>
                <w:b/>
                <w:bCs/>
                <w:snapToGrid w:val="0"/>
                <w:kern w:val="0"/>
                <w:sz w:val="21"/>
                <w:szCs w:val="21"/>
              </w:rPr>
            </w:pPr>
            <w:r>
              <w:rPr>
                <w:rFonts w:cs="Times New Roman"/>
                <w:b/>
                <w:bCs/>
                <w:snapToGrid w:val="0"/>
                <w:kern w:val="0"/>
                <w:sz w:val="21"/>
                <w:szCs w:val="21"/>
              </w:rPr>
              <w:t>单位</w:t>
            </w:r>
          </w:p>
        </w:tc>
        <w:tc>
          <w:tcPr>
            <w:tcW w:w="873" w:type="pct"/>
            <w:vAlign w:val="center"/>
          </w:tcPr>
          <w:p>
            <w:pPr>
              <w:autoSpaceDE w:val="0"/>
              <w:autoSpaceDN w:val="0"/>
              <w:spacing w:line="240" w:lineRule="auto"/>
              <w:ind w:firstLine="0" w:firstLineChars="0"/>
              <w:jc w:val="center"/>
              <w:rPr>
                <w:rFonts w:cs="Times New Roman"/>
                <w:b/>
                <w:bCs/>
                <w:snapToGrid w:val="0"/>
                <w:kern w:val="0"/>
                <w:sz w:val="21"/>
                <w:szCs w:val="21"/>
              </w:rPr>
            </w:pPr>
            <w:r>
              <w:rPr>
                <w:rFonts w:cs="Times New Roman"/>
                <w:b/>
                <w:bCs/>
                <w:snapToGrid w:val="0"/>
                <w:kern w:val="0"/>
                <w:sz w:val="21"/>
                <w:szCs w:val="21"/>
              </w:rPr>
              <w:t>数量</w:t>
            </w:r>
          </w:p>
        </w:tc>
        <w:tc>
          <w:tcPr>
            <w:tcW w:w="1503" w:type="pct"/>
            <w:vAlign w:val="center"/>
          </w:tcPr>
          <w:p>
            <w:pPr>
              <w:autoSpaceDE w:val="0"/>
              <w:autoSpaceDN w:val="0"/>
              <w:spacing w:line="240" w:lineRule="auto"/>
              <w:ind w:firstLine="0" w:firstLineChars="0"/>
              <w:jc w:val="center"/>
              <w:rPr>
                <w:rFonts w:cs="Times New Roman"/>
                <w:b/>
                <w:bCs/>
                <w:snapToGrid w:val="0"/>
                <w:kern w:val="0"/>
                <w:sz w:val="21"/>
                <w:szCs w:val="21"/>
              </w:rPr>
            </w:pPr>
            <w:r>
              <w:rPr>
                <w:rFonts w:cs="Times New Roman"/>
                <w:b/>
                <w:bCs/>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1</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路线长度</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km</w:t>
            </w:r>
          </w:p>
        </w:tc>
        <w:tc>
          <w:tcPr>
            <w:tcW w:w="873" w:type="pct"/>
            <w:vAlign w:val="center"/>
          </w:tcPr>
          <w:p>
            <w:pPr>
              <w:autoSpaceDE w:val="0"/>
              <w:autoSpaceDN w:val="0"/>
              <w:spacing w:line="240" w:lineRule="auto"/>
              <w:ind w:firstLine="0" w:firstLineChars="0"/>
              <w:jc w:val="center"/>
              <w:rPr>
                <w:rFonts w:cs="Times New Roman"/>
                <w:snapToGrid w:val="0"/>
                <w:kern w:val="0"/>
                <w:sz w:val="21"/>
                <w:szCs w:val="21"/>
                <w:highlight w:val="yellow"/>
              </w:rPr>
            </w:pPr>
            <w:r>
              <w:rPr>
                <w:rFonts w:cs="Times New Roman"/>
                <w:snapToGrid w:val="0"/>
                <w:kern w:val="0"/>
                <w:sz w:val="21"/>
                <w:szCs w:val="21"/>
              </w:rPr>
              <w:t>33.599</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2</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计价土方</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vertAlign w:val="superscript"/>
              </w:rPr>
            </w:pPr>
            <w:r>
              <w:rPr>
                <w:rFonts w:cs="Times New Roman"/>
                <w:snapToGrid w:val="0"/>
                <w:kern w:val="0"/>
                <w:sz w:val="21"/>
                <w:szCs w:val="21"/>
              </w:rPr>
              <w:t>m</w:t>
            </w:r>
            <w:r>
              <w:rPr>
                <w:rFonts w:cs="Times New Roman"/>
                <w:snapToGrid w:val="0"/>
                <w:kern w:val="0"/>
                <w:sz w:val="21"/>
                <w:szCs w:val="21"/>
                <w:vertAlign w:val="superscript"/>
              </w:rPr>
              <w:t>3</w:t>
            </w:r>
          </w:p>
        </w:tc>
        <w:tc>
          <w:tcPr>
            <w:tcW w:w="873" w:type="pct"/>
            <w:vAlign w:val="center"/>
          </w:tcPr>
          <w:p>
            <w:pPr>
              <w:autoSpaceDE w:val="0"/>
              <w:autoSpaceDN w:val="0"/>
              <w:spacing w:line="240" w:lineRule="auto"/>
              <w:ind w:firstLine="0" w:firstLineChars="0"/>
              <w:jc w:val="center"/>
              <w:rPr>
                <w:rFonts w:cs="Times New Roman"/>
                <w:snapToGrid w:val="0"/>
                <w:kern w:val="0"/>
                <w:sz w:val="21"/>
                <w:szCs w:val="21"/>
                <w:highlight w:val="yellow"/>
              </w:rPr>
            </w:pPr>
            <w:r>
              <w:rPr>
                <w:rFonts w:cs="Times New Roman"/>
                <w:snapToGrid w:val="0"/>
                <w:kern w:val="0"/>
                <w:sz w:val="21"/>
                <w:szCs w:val="21"/>
              </w:rPr>
              <w:t>201400</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3</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计价石方</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vertAlign w:val="superscript"/>
              </w:rPr>
            </w:pPr>
            <w:r>
              <w:rPr>
                <w:rFonts w:cs="Times New Roman"/>
                <w:snapToGrid w:val="0"/>
                <w:kern w:val="0"/>
                <w:sz w:val="21"/>
                <w:szCs w:val="21"/>
              </w:rPr>
              <w:t>m</w:t>
            </w:r>
            <w:r>
              <w:rPr>
                <w:rFonts w:cs="Times New Roman"/>
                <w:snapToGrid w:val="0"/>
                <w:kern w:val="0"/>
                <w:sz w:val="21"/>
                <w:szCs w:val="21"/>
                <w:vertAlign w:val="superscript"/>
              </w:rPr>
              <w:t>3</w:t>
            </w:r>
          </w:p>
        </w:tc>
        <w:tc>
          <w:tcPr>
            <w:tcW w:w="873" w:type="pct"/>
            <w:vAlign w:val="center"/>
          </w:tcPr>
          <w:p>
            <w:pPr>
              <w:autoSpaceDE w:val="0"/>
              <w:autoSpaceDN w:val="0"/>
              <w:spacing w:line="240" w:lineRule="auto"/>
              <w:ind w:firstLine="0" w:firstLineChars="0"/>
              <w:jc w:val="center"/>
              <w:rPr>
                <w:rFonts w:cs="Times New Roman"/>
                <w:snapToGrid w:val="0"/>
                <w:kern w:val="0"/>
                <w:sz w:val="21"/>
                <w:szCs w:val="21"/>
                <w:highlight w:val="yellow"/>
              </w:rPr>
            </w:pPr>
            <w:r>
              <w:rPr>
                <w:rFonts w:cs="Times New Roman"/>
                <w:snapToGrid w:val="0"/>
                <w:kern w:val="0"/>
                <w:sz w:val="21"/>
                <w:szCs w:val="21"/>
              </w:rPr>
              <w:t>50400</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4</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防护工程</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m</w:t>
            </w:r>
            <w:r>
              <w:rPr>
                <w:rFonts w:cs="Times New Roman"/>
                <w:snapToGrid w:val="0"/>
                <w:kern w:val="0"/>
                <w:sz w:val="21"/>
                <w:szCs w:val="21"/>
                <w:vertAlign w:val="superscript"/>
              </w:rPr>
              <w:t>3</w:t>
            </w:r>
          </w:p>
        </w:tc>
        <w:tc>
          <w:tcPr>
            <w:tcW w:w="873" w:type="pct"/>
            <w:vAlign w:val="center"/>
          </w:tcPr>
          <w:p>
            <w:pPr>
              <w:autoSpaceDE w:val="0"/>
              <w:autoSpaceDN w:val="0"/>
              <w:spacing w:line="240" w:lineRule="auto"/>
              <w:ind w:firstLine="0" w:firstLineChars="0"/>
              <w:jc w:val="center"/>
              <w:rPr>
                <w:rFonts w:cs="Times New Roman"/>
                <w:snapToGrid w:val="0"/>
                <w:kern w:val="0"/>
                <w:sz w:val="21"/>
                <w:szCs w:val="21"/>
                <w:highlight w:val="yellow"/>
              </w:rPr>
            </w:pPr>
            <w:r>
              <w:rPr>
                <w:rFonts w:cs="Times New Roman"/>
                <w:snapToGrid w:val="0"/>
                <w:kern w:val="0"/>
                <w:sz w:val="21"/>
                <w:szCs w:val="21"/>
              </w:rPr>
              <w:t>16122</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5</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排水工程</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m</w:t>
            </w:r>
            <w:r>
              <w:rPr>
                <w:rFonts w:cs="Times New Roman"/>
                <w:snapToGrid w:val="0"/>
                <w:kern w:val="0"/>
                <w:sz w:val="21"/>
                <w:szCs w:val="21"/>
                <w:vertAlign w:val="superscript"/>
              </w:rPr>
              <w:t>3</w:t>
            </w:r>
          </w:p>
        </w:tc>
        <w:tc>
          <w:tcPr>
            <w:tcW w:w="873" w:type="pct"/>
            <w:vAlign w:val="center"/>
          </w:tcPr>
          <w:p>
            <w:pPr>
              <w:spacing w:line="240" w:lineRule="auto"/>
              <w:ind w:firstLine="0" w:firstLineChars="0"/>
              <w:jc w:val="center"/>
              <w:rPr>
                <w:rFonts w:cs="Times New Roman"/>
                <w:snapToGrid w:val="0"/>
                <w:kern w:val="0"/>
                <w:sz w:val="21"/>
                <w:szCs w:val="21"/>
              </w:rPr>
            </w:pPr>
            <w:r>
              <w:rPr>
                <w:rFonts w:cs="Times New Roman"/>
                <w:snapToGrid w:val="0"/>
                <w:kern w:val="0"/>
                <w:sz w:val="21"/>
                <w:szCs w:val="21"/>
              </w:rPr>
              <w:t>5556.5</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6</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沥青</w:t>
            </w:r>
            <w:r>
              <w:rPr>
                <w:rFonts w:cs="Times New Roman"/>
                <w:snapToGrid w:val="0"/>
                <w:kern w:val="0"/>
                <w:sz w:val="21"/>
                <w:szCs w:val="21"/>
              </w:rPr>
              <w:t>混凝土路面</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m</w:t>
            </w:r>
            <w:r>
              <w:rPr>
                <w:rFonts w:hint="eastAsia" w:cs="Times New Roman"/>
                <w:snapToGrid w:val="0"/>
                <w:kern w:val="0"/>
                <w:sz w:val="21"/>
                <w:szCs w:val="21"/>
                <w:vertAlign w:val="superscript"/>
              </w:rPr>
              <w:t>2</w:t>
            </w:r>
          </w:p>
        </w:tc>
        <w:tc>
          <w:tcPr>
            <w:tcW w:w="873" w:type="pct"/>
            <w:vAlign w:val="center"/>
          </w:tcPr>
          <w:p>
            <w:pPr>
              <w:spacing w:line="240" w:lineRule="auto"/>
              <w:ind w:firstLine="0" w:firstLineChars="0"/>
              <w:jc w:val="center"/>
              <w:rPr>
                <w:rFonts w:cs="Times New Roman"/>
                <w:snapToGrid w:val="0"/>
                <w:kern w:val="0"/>
                <w:sz w:val="21"/>
                <w:szCs w:val="21"/>
              </w:rPr>
            </w:pPr>
            <w:r>
              <w:rPr>
                <w:rFonts w:cs="Times New Roman"/>
                <w:sz w:val="21"/>
                <w:szCs w:val="21"/>
              </w:rPr>
              <w:t>249451</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7</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桥梁</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座</w:t>
            </w:r>
          </w:p>
        </w:tc>
        <w:tc>
          <w:tcPr>
            <w:tcW w:w="873" w:type="pct"/>
            <w:vAlign w:val="center"/>
          </w:tcPr>
          <w:p>
            <w:pPr>
              <w:spacing w:line="240" w:lineRule="auto"/>
              <w:ind w:firstLine="0" w:firstLineChars="0"/>
              <w:jc w:val="center"/>
              <w:rPr>
                <w:rFonts w:cs="Times New Roman"/>
                <w:snapToGrid w:val="0"/>
                <w:kern w:val="0"/>
                <w:sz w:val="21"/>
                <w:szCs w:val="21"/>
              </w:rPr>
            </w:pPr>
            <w:r>
              <w:rPr>
                <w:rFonts w:cs="Times New Roman"/>
                <w:snapToGrid w:val="0"/>
                <w:kern w:val="0"/>
                <w:sz w:val="21"/>
                <w:szCs w:val="21"/>
              </w:rPr>
              <w:t>7</w:t>
            </w:r>
          </w:p>
        </w:tc>
        <w:tc>
          <w:tcPr>
            <w:tcW w:w="1503"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left"/>
              <w:textAlignment w:val="auto"/>
              <w:rPr>
                <w:rFonts w:cs="Times New Roman"/>
                <w:snapToGrid w:val="0"/>
                <w:kern w:val="0"/>
                <w:sz w:val="21"/>
                <w:szCs w:val="21"/>
              </w:rPr>
            </w:pPr>
            <w:r>
              <w:rPr>
                <w:rFonts w:hint="eastAsia" w:cs="Times New Roman"/>
                <w:snapToGrid w:val="0"/>
                <w:kern w:val="0"/>
                <w:sz w:val="21"/>
                <w:szCs w:val="21"/>
              </w:rPr>
              <w:t>沿线桥梁均利用（仅对部分桥梁栏杆拆除重建）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8</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涵洞</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m/道</w:t>
            </w:r>
          </w:p>
        </w:tc>
        <w:tc>
          <w:tcPr>
            <w:tcW w:w="873" w:type="pct"/>
            <w:vAlign w:val="center"/>
          </w:tcPr>
          <w:p>
            <w:pPr>
              <w:spacing w:line="240" w:lineRule="auto"/>
              <w:ind w:firstLine="0" w:firstLineChars="0"/>
              <w:jc w:val="center"/>
              <w:rPr>
                <w:rFonts w:cs="Times New Roman"/>
                <w:snapToGrid w:val="0"/>
                <w:kern w:val="0"/>
                <w:sz w:val="21"/>
                <w:szCs w:val="21"/>
              </w:rPr>
            </w:pPr>
            <w:r>
              <w:rPr>
                <w:rFonts w:cs="Times New Roman"/>
                <w:snapToGrid w:val="0"/>
                <w:kern w:val="0"/>
                <w:sz w:val="21"/>
                <w:szCs w:val="21"/>
              </w:rPr>
              <w:t>540/60</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新改建、不含利用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9</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平面交叉</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处</w:t>
            </w:r>
          </w:p>
        </w:tc>
        <w:tc>
          <w:tcPr>
            <w:tcW w:w="873" w:type="pct"/>
            <w:vAlign w:val="center"/>
          </w:tcPr>
          <w:p>
            <w:pPr>
              <w:spacing w:line="240" w:lineRule="auto"/>
              <w:ind w:firstLine="0" w:firstLineChars="0"/>
              <w:jc w:val="center"/>
              <w:rPr>
                <w:rFonts w:cs="Times New Roman"/>
                <w:snapToGrid w:val="0"/>
                <w:kern w:val="0"/>
                <w:sz w:val="21"/>
                <w:szCs w:val="21"/>
              </w:rPr>
            </w:pPr>
            <w:r>
              <w:rPr>
                <w:rFonts w:cs="Times New Roman"/>
                <w:snapToGrid w:val="0"/>
                <w:kern w:val="0"/>
                <w:sz w:val="21"/>
                <w:szCs w:val="21"/>
              </w:rPr>
              <w:t>19</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1</w:t>
            </w:r>
            <w:r>
              <w:rPr>
                <w:rFonts w:cs="Times New Roman"/>
                <w:snapToGrid w:val="0"/>
                <w:kern w:val="0"/>
                <w:sz w:val="21"/>
                <w:szCs w:val="21"/>
              </w:rPr>
              <w:t>0</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安全设施</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p>
        </w:tc>
        <w:tc>
          <w:tcPr>
            <w:tcW w:w="873" w:type="pct"/>
            <w:vAlign w:val="center"/>
          </w:tcPr>
          <w:p>
            <w:pPr>
              <w:spacing w:line="240" w:lineRule="auto"/>
              <w:ind w:firstLine="0" w:firstLineChars="0"/>
              <w:jc w:val="center"/>
              <w:rPr>
                <w:rFonts w:cs="Times New Roman"/>
                <w:snapToGrid w:val="0"/>
                <w:kern w:val="0"/>
                <w:sz w:val="21"/>
                <w:szCs w:val="21"/>
              </w:rPr>
            </w:pP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1</w:t>
            </w:r>
            <w:r>
              <w:rPr>
                <w:rFonts w:cs="Times New Roman"/>
                <w:snapToGrid w:val="0"/>
                <w:kern w:val="0"/>
                <w:sz w:val="21"/>
                <w:szCs w:val="21"/>
              </w:rPr>
              <w:t>1</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标志</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处</w:t>
            </w:r>
          </w:p>
        </w:tc>
        <w:tc>
          <w:tcPr>
            <w:tcW w:w="873" w:type="pct"/>
            <w:vAlign w:val="center"/>
          </w:tcPr>
          <w:p>
            <w:pPr>
              <w:spacing w:line="240" w:lineRule="auto"/>
              <w:ind w:firstLine="0" w:firstLineChars="0"/>
              <w:jc w:val="center"/>
              <w:rPr>
                <w:rFonts w:cs="Times New Roman"/>
                <w:snapToGrid w:val="0"/>
                <w:kern w:val="0"/>
                <w:sz w:val="21"/>
                <w:szCs w:val="21"/>
              </w:rPr>
            </w:pPr>
            <w:r>
              <w:rPr>
                <w:rFonts w:cs="Times New Roman"/>
                <w:snapToGrid w:val="0"/>
                <w:kern w:val="0"/>
                <w:sz w:val="21"/>
                <w:szCs w:val="21"/>
              </w:rPr>
              <w:t>109</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1</w:t>
            </w:r>
            <w:r>
              <w:rPr>
                <w:rFonts w:cs="Times New Roman"/>
                <w:snapToGrid w:val="0"/>
                <w:kern w:val="0"/>
                <w:sz w:val="21"/>
                <w:szCs w:val="21"/>
              </w:rPr>
              <w:t>2</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标线</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m</w:t>
            </w:r>
            <w:r>
              <w:rPr>
                <w:rFonts w:hint="eastAsia" w:cs="Times New Roman"/>
                <w:snapToGrid w:val="0"/>
                <w:kern w:val="0"/>
                <w:sz w:val="21"/>
                <w:szCs w:val="21"/>
                <w:vertAlign w:val="superscript"/>
              </w:rPr>
              <w:t>2</w:t>
            </w:r>
          </w:p>
        </w:tc>
        <w:tc>
          <w:tcPr>
            <w:tcW w:w="873" w:type="pct"/>
            <w:vAlign w:val="center"/>
          </w:tcPr>
          <w:p>
            <w:pPr>
              <w:spacing w:line="240" w:lineRule="auto"/>
              <w:ind w:firstLine="0" w:firstLineChars="0"/>
              <w:jc w:val="center"/>
              <w:rPr>
                <w:rFonts w:cs="Times New Roman"/>
                <w:snapToGrid w:val="0"/>
                <w:kern w:val="0"/>
                <w:sz w:val="21"/>
                <w:szCs w:val="21"/>
              </w:rPr>
            </w:pPr>
            <w:r>
              <w:rPr>
                <w:rFonts w:cs="Times New Roman"/>
                <w:snapToGrid w:val="0"/>
                <w:kern w:val="0"/>
                <w:sz w:val="21"/>
                <w:szCs w:val="21"/>
              </w:rPr>
              <w:t>29566</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1</w:t>
            </w:r>
            <w:r>
              <w:rPr>
                <w:rFonts w:cs="Times New Roman"/>
                <w:snapToGrid w:val="0"/>
                <w:kern w:val="0"/>
                <w:sz w:val="21"/>
                <w:szCs w:val="21"/>
              </w:rPr>
              <w:t>3</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波形护栏</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m</w:t>
            </w:r>
          </w:p>
        </w:tc>
        <w:tc>
          <w:tcPr>
            <w:tcW w:w="873" w:type="pct"/>
            <w:vAlign w:val="center"/>
          </w:tcPr>
          <w:p>
            <w:pPr>
              <w:spacing w:line="240" w:lineRule="auto"/>
              <w:ind w:firstLine="0" w:firstLineChars="0"/>
              <w:jc w:val="center"/>
              <w:rPr>
                <w:rFonts w:cs="Times New Roman"/>
                <w:snapToGrid w:val="0"/>
                <w:kern w:val="0"/>
                <w:sz w:val="21"/>
                <w:szCs w:val="21"/>
              </w:rPr>
            </w:pPr>
            <w:r>
              <w:rPr>
                <w:rFonts w:cs="Times New Roman"/>
                <w:snapToGrid w:val="0"/>
                <w:kern w:val="0"/>
                <w:sz w:val="21"/>
                <w:szCs w:val="21"/>
              </w:rPr>
              <w:t>25313</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bl>
    <w:p>
      <w:pPr>
        <w:ind w:firstLine="0" w:firstLineChars="0"/>
        <w:jc w:val="center"/>
        <w:rPr>
          <w:rFonts w:cs="Times New Roman"/>
          <w:b/>
          <w:szCs w:val="24"/>
        </w:rPr>
      </w:pPr>
      <w:r>
        <w:rPr>
          <w:rFonts w:cs="Times New Roman"/>
          <w:b/>
          <w:szCs w:val="24"/>
        </w:rPr>
        <w:t>表</w:t>
      </w:r>
      <w:r>
        <w:rPr>
          <w:rFonts w:hint="eastAsia" w:cs="Times New Roman"/>
          <w:b/>
          <w:szCs w:val="24"/>
          <w:lang w:val="en-US" w:eastAsia="zh-CN"/>
        </w:rPr>
        <w:t>2</w:t>
      </w:r>
      <w:r>
        <w:rPr>
          <w:rFonts w:hint="eastAsia" w:cs="Times New Roman"/>
          <w:b/>
          <w:szCs w:val="24"/>
        </w:rPr>
        <w:t>-2珠姆措</w:t>
      </w:r>
      <w:r>
        <w:rPr>
          <w:rFonts w:hint="eastAsia" w:cs="Times New Roman"/>
          <w:b/>
          <w:szCs w:val="24"/>
          <w:lang w:val="en-US" w:eastAsia="zh-CN"/>
        </w:rPr>
        <w:t>路</w:t>
      </w:r>
      <w:r>
        <w:rPr>
          <w:rFonts w:hint="eastAsia" w:cs="Times New Roman"/>
          <w:b/>
          <w:szCs w:val="24"/>
        </w:rPr>
        <w:t>工程规模一览</w:t>
      </w:r>
      <w:r>
        <w:rPr>
          <w:rFonts w:cs="Times New Roman"/>
          <w:b/>
          <w:szCs w:val="24"/>
        </w:rPr>
        <w:t>表</w:t>
      </w:r>
    </w:p>
    <w:tbl>
      <w:tblPr>
        <w:tblStyle w:val="4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30" w:type="dxa"/>
          <w:bottom w:w="0" w:type="dxa"/>
          <w:right w:w="30" w:type="dxa"/>
        </w:tblCellMar>
      </w:tblPr>
      <w:tblGrid>
        <w:gridCol w:w="1046"/>
        <w:gridCol w:w="2413"/>
        <w:gridCol w:w="934"/>
        <w:gridCol w:w="1462"/>
        <w:gridCol w:w="25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b/>
                <w:bCs/>
                <w:snapToGrid w:val="0"/>
                <w:kern w:val="0"/>
                <w:sz w:val="21"/>
                <w:szCs w:val="21"/>
              </w:rPr>
            </w:pPr>
            <w:r>
              <w:rPr>
                <w:rFonts w:cs="Times New Roman"/>
                <w:b/>
                <w:bCs/>
                <w:snapToGrid w:val="0"/>
                <w:kern w:val="0"/>
                <w:sz w:val="21"/>
                <w:szCs w:val="21"/>
              </w:rPr>
              <w:t>序号</w:t>
            </w:r>
          </w:p>
        </w:tc>
        <w:tc>
          <w:tcPr>
            <w:tcW w:w="1441" w:type="pct"/>
            <w:vAlign w:val="center"/>
          </w:tcPr>
          <w:p>
            <w:pPr>
              <w:autoSpaceDE w:val="0"/>
              <w:autoSpaceDN w:val="0"/>
              <w:spacing w:line="240" w:lineRule="auto"/>
              <w:ind w:firstLine="0" w:firstLineChars="0"/>
              <w:jc w:val="center"/>
              <w:rPr>
                <w:rFonts w:cs="Times New Roman"/>
                <w:b/>
                <w:bCs/>
                <w:snapToGrid w:val="0"/>
                <w:kern w:val="0"/>
                <w:sz w:val="21"/>
                <w:szCs w:val="21"/>
              </w:rPr>
            </w:pPr>
            <w:r>
              <w:rPr>
                <w:rFonts w:cs="Times New Roman"/>
                <w:b/>
                <w:bCs/>
                <w:snapToGrid w:val="0"/>
                <w:kern w:val="0"/>
                <w:sz w:val="21"/>
                <w:szCs w:val="21"/>
              </w:rPr>
              <w:t>名称</w:t>
            </w:r>
          </w:p>
        </w:tc>
        <w:tc>
          <w:tcPr>
            <w:tcW w:w="558" w:type="pct"/>
            <w:vAlign w:val="center"/>
          </w:tcPr>
          <w:p>
            <w:pPr>
              <w:autoSpaceDE w:val="0"/>
              <w:autoSpaceDN w:val="0"/>
              <w:spacing w:line="240" w:lineRule="auto"/>
              <w:ind w:firstLine="0" w:firstLineChars="0"/>
              <w:jc w:val="center"/>
              <w:rPr>
                <w:rFonts w:cs="Times New Roman"/>
                <w:b/>
                <w:bCs/>
                <w:snapToGrid w:val="0"/>
                <w:kern w:val="0"/>
                <w:sz w:val="21"/>
                <w:szCs w:val="21"/>
              </w:rPr>
            </w:pPr>
            <w:r>
              <w:rPr>
                <w:rFonts w:cs="Times New Roman"/>
                <w:b/>
                <w:bCs/>
                <w:snapToGrid w:val="0"/>
                <w:kern w:val="0"/>
                <w:sz w:val="21"/>
                <w:szCs w:val="21"/>
              </w:rPr>
              <w:t>单位</w:t>
            </w:r>
          </w:p>
        </w:tc>
        <w:tc>
          <w:tcPr>
            <w:tcW w:w="873" w:type="pct"/>
            <w:vAlign w:val="center"/>
          </w:tcPr>
          <w:p>
            <w:pPr>
              <w:autoSpaceDE w:val="0"/>
              <w:autoSpaceDN w:val="0"/>
              <w:spacing w:line="240" w:lineRule="auto"/>
              <w:ind w:firstLine="0" w:firstLineChars="0"/>
              <w:jc w:val="center"/>
              <w:rPr>
                <w:rFonts w:cs="Times New Roman"/>
                <w:b/>
                <w:bCs/>
                <w:snapToGrid w:val="0"/>
                <w:kern w:val="0"/>
                <w:sz w:val="21"/>
                <w:szCs w:val="21"/>
              </w:rPr>
            </w:pPr>
            <w:r>
              <w:rPr>
                <w:rFonts w:cs="Times New Roman"/>
                <w:b/>
                <w:bCs/>
                <w:snapToGrid w:val="0"/>
                <w:kern w:val="0"/>
                <w:sz w:val="21"/>
                <w:szCs w:val="21"/>
              </w:rPr>
              <w:t>数量</w:t>
            </w:r>
          </w:p>
        </w:tc>
        <w:tc>
          <w:tcPr>
            <w:tcW w:w="1503" w:type="pct"/>
            <w:vAlign w:val="center"/>
          </w:tcPr>
          <w:p>
            <w:pPr>
              <w:autoSpaceDE w:val="0"/>
              <w:autoSpaceDN w:val="0"/>
              <w:spacing w:line="240" w:lineRule="auto"/>
              <w:ind w:firstLine="0" w:firstLineChars="0"/>
              <w:jc w:val="center"/>
              <w:rPr>
                <w:rFonts w:cs="Times New Roman"/>
                <w:b/>
                <w:bCs/>
                <w:snapToGrid w:val="0"/>
                <w:kern w:val="0"/>
                <w:sz w:val="21"/>
                <w:szCs w:val="21"/>
              </w:rPr>
            </w:pPr>
            <w:r>
              <w:rPr>
                <w:rFonts w:cs="Times New Roman"/>
                <w:b/>
                <w:bCs/>
                <w:snapToGrid w:val="0"/>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1</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路线长度</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km</w:t>
            </w:r>
          </w:p>
        </w:tc>
        <w:tc>
          <w:tcPr>
            <w:tcW w:w="873" w:type="pct"/>
            <w:vAlign w:val="center"/>
          </w:tcPr>
          <w:p>
            <w:pPr>
              <w:autoSpaceDE w:val="0"/>
              <w:autoSpaceDN w:val="0"/>
              <w:spacing w:line="240" w:lineRule="auto"/>
              <w:ind w:firstLine="0" w:firstLineChars="0"/>
              <w:jc w:val="center"/>
              <w:rPr>
                <w:rFonts w:cs="Times New Roman"/>
                <w:snapToGrid w:val="0"/>
                <w:kern w:val="0"/>
                <w:sz w:val="21"/>
                <w:szCs w:val="21"/>
                <w:highlight w:val="yellow"/>
              </w:rPr>
            </w:pPr>
            <w:r>
              <w:rPr>
                <w:rFonts w:cs="Times New Roman"/>
                <w:snapToGrid w:val="0"/>
                <w:kern w:val="0"/>
                <w:sz w:val="21"/>
                <w:szCs w:val="21"/>
              </w:rPr>
              <w:t>10.074</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2</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计价土方</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vertAlign w:val="superscript"/>
              </w:rPr>
            </w:pPr>
            <w:r>
              <w:rPr>
                <w:rFonts w:cs="Times New Roman"/>
                <w:snapToGrid w:val="0"/>
                <w:kern w:val="0"/>
                <w:sz w:val="21"/>
                <w:szCs w:val="21"/>
              </w:rPr>
              <w:t>m</w:t>
            </w:r>
            <w:r>
              <w:rPr>
                <w:rFonts w:cs="Times New Roman"/>
                <w:snapToGrid w:val="0"/>
                <w:kern w:val="0"/>
                <w:sz w:val="21"/>
                <w:szCs w:val="21"/>
                <w:vertAlign w:val="superscript"/>
              </w:rPr>
              <w:t>3</w:t>
            </w:r>
          </w:p>
        </w:tc>
        <w:tc>
          <w:tcPr>
            <w:tcW w:w="873" w:type="pct"/>
            <w:vAlign w:val="center"/>
          </w:tcPr>
          <w:p>
            <w:pPr>
              <w:autoSpaceDE w:val="0"/>
              <w:autoSpaceDN w:val="0"/>
              <w:spacing w:line="240" w:lineRule="auto"/>
              <w:ind w:firstLine="0" w:firstLineChars="0"/>
              <w:jc w:val="center"/>
              <w:rPr>
                <w:rFonts w:cs="Times New Roman"/>
                <w:snapToGrid w:val="0"/>
                <w:kern w:val="0"/>
                <w:sz w:val="21"/>
                <w:szCs w:val="21"/>
                <w:highlight w:val="yellow"/>
              </w:rPr>
            </w:pPr>
            <w:r>
              <w:rPr>
                <w:rFonts w:cs="Times New Roman"/>
                <w:snapToGrid w:val="0"/>
                <w:kern w:val="0"/>
                <w:sz w:val="21"/>
                <w:szCs w:val="21"/>
              </w:rPr>
              <w:t>44100</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3</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计价石方</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vertAlign w:val="superscript"/>
              </w:rPr>
            </w:pPr>
            <w:r>
              <w:rPr>
                <w:rFonts w:cs="Times New Roman"/>
                <w:snapToGrid w:val="0"/>
                <w:kern w:val="0"/>
                <w:sz w:val="21"/>
                <w:szCs w:val="21"/>
              </w:rPr>
              <w:t>m</w:t>
            </w:r>
            <w:r>
              <w:rPr>
                <w:rFonts w:cs="Times New Roman"/>
                <w:snapToGrid w:val="0"/>
                <w:kern w:val="0"/>
                <w:sz w:val="21"/>
                <w:szCs w:val="21"/>
                <w:vertAlign w:val="superscript"/>
              </w:rPr>
              <w:t>3</w:t>
            </w:r>
          </w:p>
        </w:tc>
        <w:tc>
          <w:tcPr>
            <w:tcW w:w="873" w:type="pct"/>
            <w:vAlign w:val="center"/>
          </w:tcPr>
          <w:p>
            <w:pPr>
              <w:autoSpaceDE w:val="0"/>
              <w:autoSpaceDN w:val="0"/>
              <w:spacing w:line="240" w:lineRule="auto"/>
              <w:ind w:firstLine="0" w:firstLineChars="0"/>
              <w:jc w:val="center"/>
              <w:rPr>
                <w:rFonts w:cs="Times New Roman"/>
                <w:snapToGrid w:val="0"/>
                <w:kern w:val="0"/>
                <w:sz w:val="21"/>
                <w:szCs w:val="21"/>
                <w:highlight w:val="yellow"/>
              </w:rPr>
            </w:pPr>
            <w:r>
              <w:rPr>
                <w:rFonts w:cs="Times New Roman"/>
                <w:snapToGrid w:val="0"/>
                <w:kern w:val="0"/>
                <w:sz w:val="21"/>
                <w:szCs w:val="21"/>
              </w:rPr>
              <w:t>66100</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4</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防护工程</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m</w:t>
            </w:r>
            <w:r>
              <w:rPr>
                <w:rFonts w:cs="Times New Roman"/>
                <w:snapToGrid w:val="0"/>
                <w:kern w:val="0"/>
                <w:sz w:val="21"/>
                <w:szCs w:val="21"/>
                <w:vertAlign w:val="superscript"/>
              </w:rPr>
              <w:t>3</w:t>
            </w:r>
          </w:p>
        </w:tc>
        <w:tc>
          <w:tcPr>
            <w:tcW w:w="873" w:type="pct"/>
            <w:vAlign w:val="center"/>
          </w:tcPr>
          <w:p>
            <w:pPr>
              <w:autoSpaceDE w:val="0"/>
              <w:autoSpaceDN w:val="0"/>
              <w:spacing w:line="240" w:lineRule="auto"/>
              <w:ind w:firstLine="0" w:firstLineChars="0"/>
              <w:jc w:val="center"/>
              <w:rPr>
                <w:rFonts w:cs="Times New Roman"/>
                <w:snapToGrid w:val="0"/>
                <w:kern w:val="0"/>
                <w:sz w:val="21"/>
                <w:szCs w:val="21"/>
                <w:highlight w:val="yellow"/>
              </w:rPr>
            </w:pPr>
            <w:r>
              <w:rPr>
                <w:rFonts w:cs="Times New Roman"/>
                <w:snapToGrid w:val="0"/>
                <w:kern w:val="0"/>
                <w:sz w:val="21"/>
                <w:szCs w:val="21"/>
              </w:rPr>
              <w:t>7780</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5</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排水工程</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m</w:t>
            </w:r>
            <w:r>
              <w:rPr>
                <w:rFonts w:cs="Times New Roman"/>
                <w:snapToGrid w:val="0"/>
                <w:kern w:val="0"/>
                <w:sz w:val="21"/>
                <w:szCs w:val="21"/>
                <w:vertAlign w:val="superscript"/>
              </w:rPr>
              <w:t>3</w:t>
            </w:r>
          </w:p>
        </w:tc>
        <w:tc>
          <w:tcPr>
            <w:tcW w:w="873" w:type="pct"/>
            <w:vAlign w:val="center"/>
          </w:tcPr>
          <w:p>
            <w:pPr>
              <w:spacing w:line="240" w:lineRule="auto"/>
              <w:ind w:firstLine="0" w:firstLineChars="0"/>
              <w:jc w:val="center"/>
              <w:rPr>
                <w:rFonts w:cs="Times New Roman"/>
                <w:snapToGrid w:val="0"/>
                <w:kern w:val="0"/>
                <w:sz w:val="21"/>
                <w:szCs w:val="21"/>
              </w:rPr>
            </w:pPr>
            <w:r>
              <w:rPr>
                <w:rFonts w:cs="Times New Roman"/>
                <w:snapToGrid w:val="0"/>
                <w:kern w:val="0"/>
                <w:sz w:val="21"/>
                <w:szCs w:val="21"/>
              </w:rPr>
              <w:t>2752</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6</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沥青</w:t>
            </w:r>
            <w:r>
              <w:rPr>
                <w:rFonts w:cs="Times New Roman"/>
                <w:snapToGrid w:val="0"/>
                <w:kern w:val="0"/>
                <w:sz w:val="21"/>
                <w:szCs w:val="21"/>
              </w:rPr>
              <w:t>混凝土路面</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m</w:t>
            </w:r>
            <w:r>
              <w:rPr>
                <w:rFonts w:hint="eastAsia" w:cs="Times New Roman"/>
                <w:snapToGrid w:val="0"/>
                <w:kern w:val="0"/>
                <w:sz w:val="21"/>
                <w:szCs w:val="21"/>
                <w:vertAlign w:val="superscript"/>
              </w:rPr>
              <w:t>2</w:t>
            </w:r>
          </w:p>
        </w:tc>
        <w:tc>
          <w:tcPr>
            <w:tcW w:w="873" w:type="pct"/>
            <w:vAlign w:val="center"/>
          </w:tcPr>
          <w:p>
            <w:pPr>
              <w:spacing w:line="240" w:lineRule="auto"/>
              <w:ind w:firstLine="0" w:firstLineChars="0"/>
              <w:jc w:val="center"/>
              <w:rPr>
                <w:rFonts w:cs="Times New Roman"/>
                <w:snapToGrid w:val="0"/>
                <w:kern w:val="0"/>
                <w:sz w:val="21"/>
                <w:szCs w:val="21"/>
              </w:rPr>
            </w:pPr>
            <w:r>
              <w:rPr>
                <w:rFonts w:cs="Times New Roman"/>
                <w:sz w:val="21"/>
                <w:szCs w:val="21"/>
              </w:rPr>
              <w:t>71156</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7</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桥梁</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座</w:t>
            </w:r>
          </w:p>
        </w:tc>
        <w:tc>
          <w:tcPr>
            <w:tcW w:w="873" w:type="pct"/>
            <w:vAlign w:val="center"/>
          </w:tcPr>
          <w:p>
            <w:pPr>
              <w:spacing w:line="240" w:lineRule="auto"/>
              <w:ind w:firstLine="0" w:firstLineChars="0"/>
              <w:jc w:val="center"/>
              <w:rPr>
                <w:rFonts w:cs="Times New Roman"/>
                <w:snapToGrid w:val="0"/>
                <w:kern w:val="0"/>
                <w:sz w:val="21"/>
                <w:szCs w:val="21"/>
              </w:rPr>
            </w:pPr>
            <w:r>
              <w:rPr>
                <w:rFonts w:cs="Times New Roman"/>
                <w:snapToGrid w:val="0"/>
                <w:kern w:val="0"/>
                <w:sz w:val="21"/>
                <w:szCs w:val="21"/>
              </w:rPr>
              <w:t>1</w:t>
            </w:r>
          </w:p>
        </w:tc>
        <w:tc>
          <w:tcPr>
            <w:tcW w:w="1503"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left"/>
              <w:textAlignment w:val="auto"/>
              <w:rPr>
                <w:rFonts w:cs="Times New Roman"/>
                <w:snapToGrid w:val="0"/>
                <w:kern w:val="0"/>
                <w:sz w:val="21"/>
                <w:szCs w:val="21"/>
              </w:rPr>
            </w:pPr>
            <w:r>
              <w:rPr>
                <w:rFonts w:hint="eastAsia" w:cs="Times New Roman"/>
                <w:snapToGrid w:val="0"/>
                <w:kern w:val="0"/>
                <w:sz w:val="21"/>
                <w:szCs w:val="21"/>
              </w:rPr>
              <w:t>沿线桥梁均利用（仅对部分桥梁栏杆拆除重建）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8</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涵洞</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m/道</w:t>
            </w:r>
          </w:p>
        </w:tc>
        <w:tc>
          <w:tcPr>
            <w:tcW w:w="873" w:type="pct"/>
            <w:vAlign w:val="center"/>
          </w:tcPr>
          <w:p>
            <w:pPr>
              <w:spacing w:line="240" w:lineRule="auto"/>
              <w:ind w:firstLine="0" w:firstLineChars="0"/>
              <w:jc w:val="center"/>
              <w:rPr>
                <w:rFonts w:cs="Times New Roman"/>
                <w:snapToGrid w:val="0"/>
                <w:kern w:val="0"/>
                <w:sz w:val="21"/>
                <w:szCs w:val="21"/>
              </w:rPr>
            </w:pPr>
            <w:r>
              <w:rPr>
                <w:rFonts w:cs="Times New Roman"/>
                <w:snapToGrid w:val="0"/>
                <w:kern w:val="0"/>
                <w:sz w:val="21"/>
                <w:szCs w:val="21"/>
              </w:rPr>
              <w:t>270/30</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新改建、不含利用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9</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平面交叉</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处</w:t>
            </w:r>
          </w:p>
        </w:tc>
        <w:tc>
          <w:tcPr>
            <w:tcW w:w="873" w:type="pct"/>
            <w:vAlign w:val="center"/>
          </w:tcPr>
          <w:p>
            <w:pPr>
              <w:spacing w:line="240" w:lineRule="auto"/>
              <w:ind w:firstLine="0" w:firstLineChars="0"/>
              <w:jc w:val="center"/>
              <w:rPr>
                <w:rFonts w:cs="Times New Roman"/>
                <w:snapToGrid w:val="0"/>
                <w:kern w:val="0"/>
                <w:sz w:val="21"/>
                <w:szCs w:val="21"/>
              </w:rPr>
            </w:pPr>
            <w:r>
              <w:rPr>
                <w:rFonts w:cs="Times New Roman"/>
                <w:snapToGrid w:val="0"/>
                <w:kern w:val="0"/>
                <w:sz w:val="21"/>
                <w:szCs w:val="21"/>
              </w:rPr>
              <w:t>11</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1</w:t>
            </w:r>
            <w:r>
              <w:rPr>
                <w:rFonts w:cs="Times New Roman"/>
                <w:snapToGrid w:val="0"/>
                <w:kern w:val="0"/>
                <w:sz w:val="21"/>
                <w:szCs w:val="21"/>
              </w:rPr>
              <w:t>0</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安全设施</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p>
        </w:tc>
        <w:tc>
          <w:tcPr>
            <w:tcW w:w="873" w:type="pct"/>
            <w:vAlign w:val="center"/>
          </w:tcPr>
          <w:p>
            <w:pPr>
              <w:spacing w:line="240" w:lineRule="auto"/>
              <w:ind w:firstLine="0" w:firstLineChars="0"/>
              <w:jc w:val="center"/>
              <w:rPr>
                <w:rFonts w:cs="Times New Roman"/>
                <w:snapToGrid w:val="0"/>
                <w:kern w:val="0"/>
                <w:sz w:val="21"/>
                <w:szCs w:val="21"/>
              </w:rPr>
            </w:pP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1</w:t>
            </w:r>
            <w:r>
              <w:rPr>
                <w:rFonts w:cs="Times New Roman"/>
                <w:snapToGrid w:val="0"/>
                <w:kern w:val="0"/>
                <w:sz w:val="21"/>
                <w:szCs w:val="21"/>
              </w:rPr>
              <w:t>1</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标志</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处</w:t>
            </w:r>
          </w:p>
        </w:tc>
        <w:tc>
          <w:tcPr>
            <w:tcW w:w="873" w:type="pct"/>
            <w:vAlign w:val="center"/>
          </w:tcPr>
          <w:p>
            <w:pPr>
              <w:spacing w:line="240" w:lineRule="auto"/>
              <w:ind w:firstLine="0" w:firstLineChars="0"/>
              <w:jc w:val="center"/>
              <w:rPr>
                <w:rFonts w:cs="Times New Roman"/>
                <w:snapToGrid w:val="0"/>
                <w:kern w:val="0"/>
                <w:sz w:val="21"/>
                <w:szCs w:val="21"/>
              </w:rPr>
            </w:pPr>
            <w:r>
              <w:rPr>
                <w:rFonts w:cs="Times New Roman"/>
                <w:snapToGrid w:val="0"/>
                <w:kern w:val="0"/>
                <w:sz w:val="21"/>
                <w:szCs w:val="21"/>
              </w:rPr>
              <w:t>30</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1</w:t>
            </w:r>
            <w:r>
              <w:rPr>
                <w:rFonts w:cs="Times New Roman"/>
                <w:snapToGrid w:val="0"/>
                <w:kern w:val="0"/>
                <w:sz w:val="21"/>
                <w:szCs w:val="21"/>
              </w:rPr>
              <w:t>2</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标线</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m</w:t>
            </w:r>
            <w:r>
              <w:rPr>
                <w:rFonts w:hint="eastAsia" w:cs="Times New Roman"/>
                <w:snapToGrid w:val="0"/>
                <w:kern w:val="0"/>
                <w:sz w:val="21"/>
                <w:szCs w:val="21"/>
                <w:vertAlign w:val="superscript"/>
              </w:rPr>
              <w:t>2</w:t>
            </w:r>
          </w:p>
        </w:tc>
        <w:tc>
          <w:tcPr>
            <w:tcW w:w="873" w:type="pct"/>
            <w:vAlign w:val="center"/>
          </w:tcPr>
          <w:p>
            <w:pPr>
              <w:spacing w:line="240" w:lineRule="auto"/>
              <w:ind w:firstLine="0" w:firstLineChars="0"/>
              <w:jc w:val="center"/>
              <w:rPr>
                <w:rFonts w:cs="Times New Roman"/>
                <w:snapToGrid w:val="0"/>
                <w:kern w:val="0"/>
                <w:sz w:val="21"/>
                <w:szCs w:val="21"/>
              </w:rPr>
            </w:pPr>
            <w:r>
              <w:rPr>
                <w:rFonts w:cs="Times New Roman"/>
                <w:snapToGrid w:val="0"/>
                <w:kern w:val="0"/>
                <w:sz w:val="21"/>
                <w:szCs w:val="21"/>
              </w:rPr>
              <w:t>6247</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1</w:t>
            </w:r>
            <w:r>
              <w:rPr>
                <w:rFonts w:cs="Times New Roman"/>
                <w:snapToGrid w:val="0"/>
                <w:kern w:val="0"/>
                <w:sz w:val="21"/>
                <w:szCs w:val="21"/>
              </w:rPr>
              <w:t>3</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cs="Times New Roman"/>
                <w:snapToGrid w:val="0"/>
                <w:kern w:val="0"/>
                <w:sz w:val="21"/>
                <w:szCs w:val="21"/>
              </w:rPr>
              <w:t>波形护栏</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m</w:t>
            </w:r>
          </w:p>
        </w:tc>
        <w:tc>
          <w:tcPr>
            <w:tcW w:w="873" w:type="pct"/>
            <w:vAlign w:val="center"/>
          </w:tcPr>
          <w:p>
            <w:pPr>
              <w:spacing w:line="240" w:lineRule="auto"/>
              <w:ind w:firstLine="0" w:firstLineChars="0"/>
              <w:jc w:val="center"/>
              <w:rPr>
                <w:rFonts w:cs="Times New Roman"/>
                <w:snapToGrid w:val="0"/>
                <w:kern w:val="0"/>
                <w:sz w:val="21"/>
                <w:szCs w:val="21"/>
              </w:rPr>
            </w:pPr>
            <w:r>
              <w:rPr>
                <w:rFonts w:cs="Times New Roman"/>
                <w:snapToGrid w:val="0"/>
                <w:kern w:val="0"/>
                <w:sz w:val="21"/>
                <w:szCs w:val="21"/>
              </w:rPr>
              <w:t>7456</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14</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停车场</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m</w:t>
            </w:r>
            <w:r>
              <w:rPr>
                <w:rFonts w:hint="eastAsia" w:cs="Times New Roman"/>
                <w:snapToGrid w:val="0"/>
                <w:kern w:val="0"/>
                <w:sz w:val="21"/>
                <w:szCs w:val="21"/>
                <w:vertAlign w:val="superscript"/>
              </w:rPr>
              <w:t>2</w:t>
            </w:r>
          </w:p>
        </w:tc>
        <w:tc>
          <w:tcPr>
            <w:tcW w:w="873" w:type="pct"/>
            <w:vAlign w:val="center"/>
          </w:tcPr>
          <w:p>
            <w:pPr>
              <w:spacing w:line="240" w:lineRule="auto"/>
              <w:ind w:firstLine="0" w:firstLineChars="0"/>
              <w:jc w:val="center"/>
              <w:rPr>
                <w:rFonts w:cs="Times New Roman"/>
                <w:snapToGrid w:val="0"/>
                <w:kern w:val="0"/>
                <w:sz w:val="21"/>
                <w:szCs w:val="21"/>
              </w:rPr>
            </w:pPr>
            <w:r>
              <w:rPr>
                <w:rFonts w:cs="Times New Roman"/>
                <w:snapToGrid w:val="0"/>
                <w:kern w:val="0"/>
                <w:sz w:val="21"/>
                <w:szCs w:val="21"/>
              </w:rPr>
              <w:t>5000</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15</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游客中心</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m</w:t>
            </w:r>
            <w:r>
              <w:rPr>
                <w:rFonts w:hint="eastAsia" w:cs="Times New Roman"/>
                <w:snapToGrid w:val="0"/>
                <w:kern w:val="0"/>
                <w:sz w:val="21"/>
                <w:szCs w:val="21"/>
                <w:vertAlign w:val="superscript"/>
              </w:rPr>
              <w:t>2</w:t>
            </w:r>
          </w:p>
        </w:tc>
        <w:tc>
          <w:tcPr>
            <w:tcW w:w="873" w:type="pct"/>
            <w:vAlign w:val="center"/>
          </w:tcPr>
          <w:p>
            <w:pPr>
              <w:spacing w:line="240" w:lineRule="auto"/>
              <w:ind w:firstLine="0" w:firstLineChars="0"/>
              <w:jc w:val="center"/>
              <w:rPr>
                <w:rFonts w:cs="Times New Roman"/>
                <w:snapToGrid w:val="0"/>
                <w:kern w:val="0"/>
                <w:sz w:val="21"/>
                <w:szCs w:val="21"/>
              </w:rPr>
            </w:pPr>
            <w:r>
              <w:rPr>
                <w:rFonts w:cs="Times New Roman"/>
                <w:snapToGrid w:val="0"/>
                <w:kern w:val="0"/>
                <w:sz w:val="21"/>
                <w:szCs w:val="21"/>
              </w:rPr>
              <w:t>300</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建筑面积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cantSplit/>
          <w:trHeight w:val="397" w:hRule="atLeast"/>
          <w:jc w:val="center"/>
        </w:trPr>
        <w:tc>
          <w:tcPr>
            <w:tcW w:w="625"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16</w:t>
            </w:r>
          </w:p>
        </w:tc>
        <w:tc>
          <w:tcPr>
            <w:tcW w:w="1441"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埋地电缆</w:t>
            </w:r>
          </w:p>
        </w:tc>
        <w:tc>
          <w:tcPr>
            <w:tcW w:w="558"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km</w:t>
            </w:r>
          </w:p>
        </w:tc>
        <w:tc>
          <w:tcPr>
            <w:tcW w:w="873" w:type="pct"/>
            <w:vAlign w:val="center"/>
          </w:tcPr>
          <w:p>
            <w:pPr>
              <w:spacing w:line="240" w:lineRule="auto"/>
              <w:ind w:firstLine="0" w:firstLineChars="0"/>
              <w:jc w:val="center"/>
              <w:rPr>
                <w:rFonts w:cs="Times New Roman"/>
                <w:snapToGrid w:val="0"/>
                <w:kern w:val="0"/>
                <w:sz w:val="21"/>
                <w:szCs w:val="21"/>
              </w:rPr>
            </w:pPr>
            <w:r>
              <w:rPr>
                <w:rFonts w:cs="Times New Roman"/>
                <w:snapToGrid w:val="0"/>
                <w:kern w:val="0"/>
                <w:sz w:val="21"/>
                <w:szCs w:val="21"/>
              </w:rPr>
              <w:t>10</w:t>
            </w:r>
          </w:p>
        </w:tc>
        <w:tc>
          <w:tcPr>
            <w:tcW w:w="1503" w:type="pct"/>
            <w:vAlign w:val="center"/>
          </w:tcPr>
          <w:p>
            <w:pPr>
              <w:autoSpaceDE w:val="0"/>
              <w:autoSpaceDN w:val="0"/>
              <w:spacing w:line="240" w:lineRule="auto"/>
              <w:ind w:firstLine="0" w:firstLineChars="0"/>
              <w:jc w:val="center"/>
              <w:rPr>
                <w:rFonts w:cs="Times New Roman"/>
                <w:snapToGrid w:val="0"/>
                <w:kern w:val="0"/>
                <w:sz w:val="21"/>
                <w:szCs w:val="21"/>
              </w:rPr>
            </w:pPr>
            <w:r>
              <w:rPr>
                <w:rFonts w:hint="eastAsia" w:cs="Times New Roman"/>
                <w:snapToGrid w:val="0"/>
                <w:kern w:val="0"/>
                <w:sz w:val="21"/>
                <w:szCs w:val="21"/>
              </w:rPr>
              <w:t>/</w:t>
            </w:r>
          </w:p>
        </w:tc>
      </w:tr>
    </w:tbl>
    <w:p>
      <w:pPr>
        <w:pStyle w:val="6"/>
        <w:numPr>
          <w:ilvl w:val="3"/>
          <w:numId w:val="0"/>
        </w:numPr>
        <w:rPr>
          <w:rFonts w:hint="eastAsia"/>
        </w:rPr>
      </w:pPr>
      <w:r>
        <w:rPr>
          <w:rFonts w:hint="eastAsia"/>
          <w:lang w:val="en-US" w:eastAsia="zh-CN"/>
        </w:rPr>
        <w:t>2.1.2.2</w:t>
      </w:r>
      <w:r>
        <w:rPr>
          <w:rFonts w:hint="eastAsia"/>
        </w:rPr>
        <w:t>技术标准</w:t>
      </w:r>
    </w:p>
    <w:p>
      <w:pPr>
        <w:keepNext w:val="0"/>
        <w:keepLines w:val="0"/>
        <w:pageBreakBefore w:val="0"/>
        <w:widowControl w:val="0"/>
        <w:kinsoku/>
        <w:wordWrap/>
        <w:overflowPunct/>
        <w:topLinePunct w:val="0"/>
        <w:autoSpaceDE/>
        <w:autoSpaceDN/>
        <w:bidi w:val="0"/>
        <w:adjustRightInd/>
        <w:snapToGrid/>
        <w:spacing w:after="32" w:afterLines="10" w:line="312" w:lineRule="auto"/>
        <w:ind w:firstLine="480"/>
        <w:textAlignment w:val="auto"/>
        <w:rPr>
          <w:rFonts w:hint="eastAsia" w:cs="Times New Roman"/>
          <w:szCs w:val="24"/>
        </w:rPr>
      </w:pPr>
      <w:bookmarkStart w:id="10" w:name="OLE_LINK5"/>
      <w:r>
        <w:rPr>
          <w:rFonts w:hint="eastAsia" w:cs="Times New Roman"/>
          <w:szCs w:val="24"/>
          <w:lang w:eastAsia="zh-CN"/>
        </w:rPr>
        <w:t>阿莲路主要为改建道路，采用设计时速为30km/h 的双车道三级公路建设指标，路线沿原路布线，路基宽8.5m，K2+091.308</w:t>
      </w:r>
      <w:r>
        <w:rPr>
          <w:rFonts w:hint="eastAsia" w:cs="Times New Roman"/>
          <w:szCs w:val="24"/>
          <w:lang w:val="en-US" w:eastAsia="zh-CN"/>
        </w:rPr>
        <w:t>-</w:t>
      </w:r>
      <w:r>
        <w:rPr>
          <w:rFonts w:hint="eastAsia" w:cs="Times New Roman"/>
          <w:szCs w:val="24"/>
          <w:lang w:eastAsia="zh-CN"/>
        </w:rPr>
        <w:t>K2+155.533段降低指标，采用20km/h设计速度，路基宽度与既有道路保持一致采用6.5m，K24+664.133</w:t>
      </w:r>
      <w:r>
        <w:rPr>
          <w:rFonts w:hint="eastAsia" w:cs="Times New Roman"/>
          <w:szCs w:val="24"/>
          <w:lang w:val="en-US" w:eastAsia="zh-CN"/>
        </w:rPr>
        <w:t>-</w:t>
      </w:r>
      <w:r>
        <w:rPr>
          <w:rFonts w:hint="eastAsia" w:cs="Times New Roman"/>
          <w:szCs w:val="24"/>
          <w:lang w:eastAsia="zh-CN"/>
        </w:rPr>
        <w:t>K33+598.620 段仅进行路面改造，路基宽度与既有道路保持一致；珠姆措</w:t>
      </w:r>
      <w:r>
        <w:rPr>
          <w:rFonts w:hint="eastAsia" w:cs="Times New Roman"/>
          <w:szCs w:val="24"/>
          <w:lang w:val="en-US" w:eastAsia="zh-CN"/>
        </w:rPr>
        <w:t>路</w:t>
      </w:r>
      <w:r>
        <w:rPr>
          <w:rFonts w:hint="eastAsia" w:cs="Times New Roman"/>
          <w:szCs w:val="24"/>
          <w:lang w:eastAsia="zh-CN"/>
        </w:rPr>
        <w:t>主要为路面新建工程，采用设计时速为30km/h的双车道四级公路建设指标，路基宽7.5m，路线主要沿原路布线，珠姆措景区正在开发，道路终点结合实际地形拟建可容纳约200个车位的停车场。</w:t>
      </w:r>
    </w:p>
    <w:p>
      <w:pPr>
        <w:keepNext w:val="0"/>
        <w:keepLines w:val="0"/>
        <w:pageBreakBefore w:val="0"/>
        <w:widowControl w:val="0"/>
        <w:kinsoku/>
        <w:wordWrap/>
        <w:overflowPunct/>
        <w:topLinePunct w:val="0"/>
        <w:autoSpaceDE/>
        <w:autoSpaceDN/>
        <w:bidi w:val="0"/>
        <w:adjustRightInd/>
        <w:snapToGrid/>
        <w:spacing w:after="32" w:afterLines="10" w:line="312" w:lineRule="auto"/>
        <w:ind w:firstLine="480"/>
        <w:textAlignment w:val="auto"/>
        <w:rPr>
          <w:rFonts w:hint="eastAsia" w:cs="Times New Roman"/>
          <w:szCs w:val="24"/>
          <w:lang w:eastAsia="zh-CN"/>
        </w:rPr>
      </w:pPr>
      <w:r>
        <w:rPr>
          <w:rFonts w:hint="eastAsia" w:cs="Times New Roman"/>
          <w:szCs w:val="24"/>
        </w:rPr>
        <w:t>阿莲路全线长33.599</w:t>
      </w:r>
      <w:r>
        <w:rPr>
          <w:rFonts w:cs="Times New Roman"/>
          <w:szCs w:val="24"/>
        </w:rPr>
        <w:t xml:space="preserve"> </w:t>
      </w:r>
      <w:r>
        <w:rPr>
          <w:rFonts w:hint="eastAsia" w:cs="Times New Roman"/>
          <w:szCs w:val="24"/>
        </w:rPr>
        <w:t>km，平面共设交点156个，平均每公里4.643个，路线增长系数1.369，平曲线最小半径25</w:t>
      </w:r>
      <w:r>
        <w:rPr>
          <w:rFonts w:cs="Times New Roman"/>
          <w:szCs w:val="24"/>
        </w:rPr>
        <w:t xml:space="preserve"> </w:t>
      </w:r>
      <w:r>
        <w:rPr>
          <w:rFonts w:hint="eastAsia" w:cs="Times New Roman"/>
          <w:szCs w:val="24"/>
        </w:rPr>
        <w:t>m（K2+091.308</w:t>
      </w:r>
      <w:r>
        <w:rPr>
          <w:rFonts w:hint="eastAsia" w:cs="Times New Roman"/>
          <w:szCs w:val="24"/>
          <w:lang w:val="en-US" w:eastAsia="zh-CN"/>
        </w:rPr>
        <w:t>-</w:t>
      </w:r>
      <w:r>
        <w:rPr>
          <w:rFonts w:hint="eastAsia" w:cs="Times New Roman"/>
          <w:szCs w:val="24"/>
        </w:rPr>
        <w:t>K2+155.533段一处利用老路路段）。平曲线总长17537.189</w:t>
      </w:r>
      <w:r>
        <w:rPr>
          <w:rFonts w:cs="Times New Roman"/>
          <w:szCs w:val="24"/>
        </w:rPr>
        <w:t xml:space="preserve"> </w:t>
      </w:r>
      <w:r>
        <w:rPr>
          <w:rFonts w:hint="eastAsia" w:cs="Times New Roman"/>
          <w:szCs w:val="24"/>
        </w:rPr>
        <w:t>m，占线路总长52.196%</w:t>
      </w:r>
      <w:r>
        <w:rPr>
          <w:rFonts w:hint="eastAsia" w:cs="Times New Roman"/>
          <w:szCs w:val="24"/>
          <w:lang w:eastAsia="zh-CN"/>
        </w:rPr>
        <w:t>；</w:t>
      </w:r>
      <w:r>
        <w:rPr>
          <w:rFonts w:hint="eastAsia" w:cs="Times New Roman"/>
          <w:szCs w:val="24"/>
        </w:rPr>
        <w:t>最大纵坡7.910%，有1处</w:t>
      </w:r>
      <w:r>
        <w:rPr>
          <w:rFonts w:hint="eastAsia" w:cs="Times New Roman"/>
          <w:szCs w:val="24"/>
          <w:lang w:eastAsia="zh-CN"/>
        </w:rPr>
        <w:t>；</w:t>
      </w:r>
      <w:r>
        <w:rPr>
          <w:rFonts w:hint="eastAsia" w:cs="Times New Roman"/>
          <w:szCs w:val="24"/>
        </w:rPr>
        <w:t>最短坡长105</w:t>
      </w:r>
      <w:r>
        <w:rPr>
          <w:rFonts w:cs="Times New Roman"/>
          <w:szCs w:val="24"/>
        </w:rPr>
        <w:t xml:space="preserve"> </w:t>
      </w:r>
      <w:r>
        <w:rPr>
          <w:rFonts w:hint="eastAsia" w:cs="Times New Roman"/>
          <w:szCs w:val="24"/>
        </w:rPr>
        <w:t>m，竖曲线总长10819.347</w:t>
      </w:r>
      <w:r>
        <w:rPr>
          <w:rFonts w:cs="Times New Roman"/>
          <w:szCs w:val="24"/>
        </w:rPr>
        <w:t xml:space="preserve"> </w:t>
      </w:r>
      <w:r>
        <w:rPr>
          <w:rFonts w:hint="eastAsia" w:cs="Times New Roman"/>
          <w:szCs w:val="24"/>
        </w:rPr>
        <w:t>m，占线路总长32.202%;平均每公里纵坡变坡次数4.167次，凸型竖曲线最小半径600</w:t>
      </w:r>
      <w:r>
        <w:rPr>
          <w:rFonts w:cs="Times New Roman"/>
          <w:szCs w:val="24"/>
        </w:rPr>
        <w:t xml:space="preserve"> </w:t>
      </w:r>
      <w:r>
        <w:rPr>
          <w:rFonts w:hint="eastAsia" w:cs="Times New Roman"/>
          <w:szCs w:val="24"/>
        </w:rPr>
        <w:t>m/1处，凹型竖曲线最小半径700</w:t>
      </w:r>
      <w:r>
        <w:rPr>
          <w:rFonts w:cs="Times New Roman"/>
          <w:szCs w:val="24"/>
        </w:rPr>
        <w:t xml:space="preserve"> </w:t>
      </w:r>
      <w:r>
        <w:rPr>
          <w:rFonts w:hint="eastAsia" w:cs="Times New Roman"/>
          <w:szCs w:val="24"/>
        </w:rPr>
        <w:t>m/1处</w:t>
      </w:r>
      <w:r>
        <w:rPr>
          <w:rFonts w:hint="eastAsia" w:cs="Times New Roman"/>
          <w:szCs w:val="24"/>
          <w:lang w:eastAsia="zh-CN"/>
        </w:rPr>
        <w:t>。</w:t>
      </w:r>
    </w:p>
    <w:p>
      <w:pPr>
        <w:keepNext w:val="0"/>
        <w:keepLines w:val="0"/>
        <w:pageBreakBefore w:val="0"/>
        <w:widowControl w:val="0"/>
        <w:kinsoku/>
        <w:wordWrap/>
        <w:overflowPunct/>
        <w:topLinePunct w:val="0"/>
        <w:autoSpaceDE/>
        <w:autoSpaceDN/>
        <w:bidi w:val="0"/>
        <w:adjustRightInd/>
        <w:snapToGrid/>
        <w:spacing w:after="32" w:afterLines="10" w:line="312" w:lineRule="auto"/>
        <w:ind w:firstLine="480"/>
        <w:textAlignment w:val="auto"/>
        <w:rPr>
          <w:rFonts w:cs="Times New Roman"/>
          <w:szCs w:val="24"/>
        </w:rPr>
      </w:pPr>
      <w:r>
        <w:rPr>
          <w:rFonts w:hint="eastAsia" w:cs="Times New Roman"/>
          <w:szCs w:val="24"/>
        </w:rPr>
        <w:t>阿莲路主要技术指标表详见表</w:t>
      </w:r>
      <w:r>
        <w:rPr>
          <w:rFonts w:hint="eastAsia" w:cs="Times New Roman"/>
          <w:szCs w:val="24"/>
          <w:lang w:val="en-US" w:eastAsia="zh-CN"/>
        </w:rPr>
        <w:t>2</w:t>
      </w:r>
      <w:r>
        <w:rPr>
          <w:rFonts w:hint="eastAsia" w:cs="Times New Roman"/>
          <w:szCs w:val="24"/>
        </w:rPr>
        <w:t>-3。</w:t>
      </w:r>
    </w:p>
    <w:p>
      <w:pPr>
        <w:spacing w:after="32" w:afterLines="10"/>
        <w:ind w:firstLine="0" w:firstLineChars="0"/>
        <w:jc w:val="center"/>
        <w:rPr>
          <w:rFonts w:cs="Times New Roman"/>
          <w:szCs w:val="24"/>
        </w:rPr>
      </w:pPr>
      <w:r>
        <w:rPr>
          <w:rFonts w:cs="Times New Roman"/>
          <w:b/>
        </w:rPr>
        <w:t>表</w:t>
      </w:r>
      <w:r>
        <w:rPr>
          <w:rFonts w:hint="eastAsia" w:cs="Times New Roman"/>
          <w:b/>
          <w:lang w:val="en-US" w:eastAsia="zh-CN"/>
        </w:rPr>
        <w:t>2</w:t>
      </w:r>
      <w:r>
        <w:rPr>
          <w:rFonts w:cs="Times New Roman"/>
          <w:b/>
        </w:rPr>
        <w:t>-3</w:t>
      </w:r>
      <w:r>
        <w:rPr>
          <w:rFonts w:hint="eastAsia" w:cs="Times New Roman"/>
          <w:b/>
        </w:rPr>
        <w:t>阿莲路</w:t>
      </w:r>
      <w:r>
        <w:rPr>
          <w:rFonts w:cs="Times New Roman"/>
          <w:b/>
        </w:rPr>
        <w:t>主要技术指标表</w:t>
      </w:r>
    </w:p>
    <w:bookmarkEnd w:id="10"/>
    <w:tbl>
      <w:tblPr>
        <w:tblStyle w:val="4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2"/>
        <w:gridCol w:w="2979"/>
        <w:gridCol w:w="709"/>
        <w:gridCol w:w="850"/>
        <w:gridCol w:w="851"/>
        <w:gridCol w:w="22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rPr>
                <w:rFonts w:ascii="Times New Roman" w:hAnsi="Times New Roman" w:cs="Times New Roman" w:eastAsiaTheme="minorEastAsia"/>
                <w:b/>
                <w:bCs/>
                <w:sz w:val="21"/>
                <w:szCs w:val="21"/>
              </w:rPr>
            </w:pPr>
            <w:r>
              <w:rPr>
                <w:rFonts w:ascii="Times New Roman" w:hAnsi="Times New Roman" w:cs="Times New Roman" w:eastAsiaTheme="minorEastAsia"/>
                <w:b/>
                <w:bCs/>
                <w:sz w:val="21"/>
                <w:szCs w:val="21"/>
              </w:rPr>
              <w:t>序号</w:t>
            </w:r>
          </w:p>
        </w:tc>
        <w:tc>
          <w:tcPr>
            <w:tcW w:w="2979" w:type="dxa"/>
          </w:tcPr>
          <w:p>
            <w:pPr>
              <w:spacing w:line="240" w:lineRule="auto"/>
              <w:ind w:firstLine="0" w:firstLineChars="0"/>
              <w:jc w:val="center"/>
              <w:rPr>
                <w:rFonts w:ascii="Times New Roman" w:hAnsi="Times New Roman" w:cs="Times New Roman" w:eastAsiaTheme="minorEastAsia"/>
                <w:b/>
                <w:bCs/>
                <w:sz w:val="21"/>
                <w:szCs w:val="21"/>
              </w:rPr>
            </w:pPr>
            <w:r>
              <w:rPr>
                <w:rFonts w:ascii="Times New Roman" w:hAnsi="Times New Roman" w:cs="Times New Roman" w:eastAsiaTheme="minorEastAsia"/>
                <w:b/>
                <w:bCs/>
                <w:sz w:val="21"/>
                <w:szCs w:val="21"/>
              </w:rPr>
              <w:t>指标名称</w:t>
            </w:r>
          </w:p>
        </w:tc>
        <w:tc>
          <w:tcPr>
            <w:tcW w:w="709" w:type="dxa"/>
          </w:tcPr>
          <w:p>
            <w:pPr>
              <w:spacing w:line="240" w:lineRule="auto"/>
              <w:ind w:firstLine="0" w:firstLineChars="0"/>
              <w:rPr>
                <w:rFonts w:ascii="Times New Roman" w:hAnsi="Times New Roman" w:cs="Times New Roman" w:eastAsiaTheme="minorEastAsia"/>
                <w:b/>
                <w:bCs/>
                <w:sz w:val="21"/>
                <w:szCs w:val="21"/>
              </w:rPr>
            </w:pPr>
            <w:r>
              <w:rPr>
                <w:rFonts w:ascii="Times New Roman" w:hAnsi="Times New Roman" w:cs="Times New Roman" w:eastAsiaTheme="minorEastAsia"/>
                <w:b/>
                <w:bCs/>
                <w:sz w:val="21"/>
                <w:szCs w:val="21"/>
              </w:rPr>
              <w:t>单位</w:t>
            </w:r>
          </w:p>
        </w:tc>
        <w:tc>
          <w:tcPr>
            <w:tcW w:w="850" w:type="dxa"/>
          </w:tcPr>
          <w:p>
            <w:pPr>
              <w:spacing w:line="240" w:lineRule="auto"/>
              <w:ind w:firstLine="0" w:firstLineChars="0"/>
              <w:rPr>
                <w:rFonts w:ascii="Times New Roman" w:hAnsi="Times New Roman" w:cs="Times New Roman" w:eastAsiaTheme="minorEastAsia"/>
                <w:b/>
                <w:bCs/>
                <w:sz w:val="21"/>
                <w:szCs w:val="21"/>
              </w:rPr>
            </w:pPr>
            <w:r>
              <w:rPr>
                <w:rFonts w:ascii="Times New Roman" w:hAnsi="Times New Roman" w:cs="Times New Roman" w:eastAsiaTheme="minorEastAsia"/>
                <w:b/>
                <w:bCs/>
                <w:sz w:val="21"/>
                <w:szCs w:val="21"/>
              </w:rPr>
              <w:t>规范值</w:t>
            </w:r>
          </w:p>
        </w:tc>
        <w:tc>
          <w:tcPr>
            <w:tcW w:w="851" w:type="dxa"/>
          </w:tcPr>
          <w:p>
            <w:pPr>
              <w:spacing w:line="240" w:lineRule="auto"/>
              <w:ind w:firstLine="0" w:firstLineChars="0"/>
              <w:rPr>
                <w:rFonts w:ascii="Times New Roman" w:hAnsi="Times New Roman" w:cs="Times New Roman" w:eastAsiaTheme="minorEastAsia"/>
                <w:b/>
                <w:bCs/>
                <w:sz w:val="21"/>
                <w:szCs w:val="21"/>
              </w:rPr>
            </w:pPr>
            <w:r>
              <w:rPr>
                <w:rFonts w:ascii="Times New Roman" w:hAnsi="Times New Roman" w:cs="Times New Roman" w:eastAsiaTheme="minorEastAsia"/>
                <w:b/>
                <w:bCs/>
                <w:sz w:val="21"/>
                <w:szCs w:val="21"/>
              </w:rPr>
              <w:t>采用值</w:t>
            </w:r>
          </w:p>
        </w:tc>
        <w:tc>
          <w:tcPr>
            <w:tcW w:w="2211" w:type="dxa"/>
          </w:tcPr>
          <w:p>
            <w:pPr>
              <w:spacing w:line="240" w:lineRule="auto"/>
              <w:ind w:firstLine="0" w:firstLineChars="0"/>
              <w:jc w:val="center"/>
              <w:rPr>
                <w:rFonts w:ascii="Times New Roman" w:hAnsi="Times New Roman" w:cs="Times New Roman" w:eastAsiaTheme="minorEastAsia"/>
                <w:b/>
                <w:bCs/>
                <w:sz w:val="21"/>
                <w:szCs w:val="21"/>
              </w:rPr>
            </w:pPr>
            <w:r>
              <w:rPr>
                <w:rFonts w:ascii="Times New Roman" w:hAnsi="Times New Roman" w:cs="Times New Roman" w:eastAsiaTheme="minorEastAsia"/>
                <w:b/>
                <w:bCs/>
                <w:sz w:val="21"/>
                <w:szCs w:val="21"/>
              </w:rPr>
              <w:t>备</w:t>
            </w:r>
            <w:r>
              <w:rPr>
                <w:rFonts w:hint="eastAsia" w:cs="Times New Roman" w:eastAsiaTheme="minorEastAsia"/>
                <w:b/>
                <w:bCs/>
                <w:sz w:val="21"/>
                <w:szCs w:val="21"/>
                <w:lang w:val="en-US" w:eastAsia="zh-CN"/>
              </w:rPr>
              <w:t xml:space="preserve">  </w:t>
            </w:r>
            <w:r>
              <w:rPr>
                <w:rFonts w:ascii="Times New Roman" w:hAnsi="Times New Roman" w:cs="Times New Roman" w:eastAsiaTheme="minorEastAsia"/>
                <w:b/>
                <w:bCs/>
                <w:sz w:val="21"/>
                <w:szCs w:val="21"/>
              </w:rPr>
              <w:t>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w:t>
            </w:r>
          </w:p>
        </w:tc>
        <w:tc>
          <w:tcPr>
            <w:tcW w:w="297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里程</w:t>
            </w:r>
          </w:p>
        </w:tc>
        <w:tc>
          <w:tcPr>
            <w:tcW w:w="70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km</w:t>
            </w:r>
          </w:p>
        </w:tc>
        <w:tc>
          <w:tcPr>
            <w:tcW w:w="850" w:type="dxa"/>
          </w:tcPr>
          <w:p>
            <w:pPr>
              <w:spacing w:line="240" w:lineRule="auto"/>
              <w:ind w:firstLine="0" w:firstLineChars="0"/>
              <w:rPr>
                <w:rFonts w:ascii="Times New Roman" w:hAnsi="Times New Roman" w:cs="Times New Roman" w:eastAsiaTheme="minorEastAsia"/>
                <w:sz w:val="21"/>
                <w:szCs w:val="21"/>
              </w:rPr>
            </w:pPr>
          </w:p>
        </w:tc>
        <w:tc>
          <w:tcPr>
            <w:tcW w:w="851"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33.599</w:t>
            </w:r>
          </w:p>
        </w:tc>
        <w:tc>
          <w:tcPr>
            <w:tcW w:w="2211" w:type="dxa"/>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2</w:t>
            </w:r>
          </w:p>
        </w:tc>
        <w:tc>
          <w:tcPr>
            <w:tcW w:w="297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公路指标</w:t>
            </w:r>
          </w:p>
        </w:tc>
        <w:tc>
          <w:tcPr>
            <w:tcW w:w="709" w:type="dxa"/>
          </w:tcPr>
          <w:p>
            <w:pPr>
              <w:spacing w:line="240" w:lineRule="auto"/>
              <w:ind w:firstLine="0" w:firstLineChars="0"/>
              <w:jc w:val="center"/>
              <w:rPr>
                <w:rFonts w:ascii="Times New Roman" w:hAnsi="Times New Roman" w:cs="Times New Roman" w:eastAsiaTheme="minorEastAsia"/>
                <w:sz w:val="21"/>
                <w:szCs w:val="21"/>
              </w:rPr>
            </w:pPr>
          </w:p>
        </w:tc>
        <w:tc>
          <w:tcPr>
            <w:tcW w:w="850"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三级</w:t>
            </w:r>
          </w:p>
        </w:tc>
        <w:tc>
          <w:tcPr>
            <w:tcW w:w="851"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三级</w:t>
            </w:r>
          </w:p>
        </w:tc>
        <w:tc>
          <w:tcPr>
            <w:tcW w:w="2211" w:type="dxa"/>
            <w:vMerge w:val="restart"/>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K2+091.308</w:t>
            </w:r>
            <w:r>
              <w:rPr>
                <w:rFonts w:hint="eastAsia" w:cs="Times New Roman" w:eastAsiaTheme="minorEastAsia"/>
                <w:sz w:val="21"/>
                <w:szCs w:val="21"/>
                <w:lang w:val="en-US" w:eastAsia="zh-CN"/>
              </w:rPr>
              <w:t>-</w:t>
            </w:r>
            <w:r>
              <w:rPr>
                <w:rFonts w:ascii="Times New Roman" w:hAnsi="Times New Roman" w:cs="Times New Roman" w:eastAsiaTheme="minorEastAsia"/>
                <w:sz w:val="21"/>
                <w:szCs w:val="21"/>
              </w:rPr>
              <w:t>K2+155.533段为困难路段，设计速度采用20km/h，占总路线0.019%。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3</w:t>
            </w:r>
          </w:p>
        </w:tc>
        <w:tc>
          <w:tcPr>
            <w:tcW w:w="297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设计速度</w:t>
            </w:r>
          </w:p>
        </w:tc>
        <w:tc>
          <w:tcPr>
            <w:tcW w:w="70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Km/h</w:t>
            </w:r>
          </w:p>
        </w:tc>
        <w:tc>
          <w:tcPr>
            <w:tcW w:w="850"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30</w:t>
            </w:r>
          </w:p>
        </w:tc>
        <w:tc>
          <w:tcPr>
            <w:tcW w:w="851"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30/20</w:t>
            </w:r>
          </w:p>
        </w:tc>
        <w:tc>
          <w:tcPr>
            <w:tcW w:w="2211" w:type="dxa"/>
            <w:vMerge w:val="continue"/>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4</w:t>
            </w:r>
          </w:p>
        </w:tc>
        <w:tc>
          <w:tcPr>
            <w:tcW w:w="297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路基宽度</w:t>
            </w:r>
          </w:p>
        </w:tc>
        <w:tc>
          <w:tcPr>
            <w:tcW w:w="70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m</w:t>
            </w:r>
          </w:p>
        </w:tc>
        <w:tc>
          <w:tcPr>
            <w:tcW w:w="850"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7.5</w:t>
            </w:r>
          </w:p>
        </w:tc>
        <w:tc>
          <w:tcPr>
            <w:tcW w:w="851"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8.5</w:t>
            </w:r>
          </w:p>
        </w:tc>
        <w:tc>
          <w:tcPr>
            <w:tcW w:w="2211" w:type="dxa"/>
            <w:vMerge w:val="continue"/>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5</w:t>
            </w:r>
          </w:p>
        </w:tc>
        <w:tc>
          <w:tcPr>
            <w:tcW w:w="297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行车道宽度</w:t>
            </w:r>
          </w:p>
        </w:tc>
        <w:tc>
          <w:tcPr>
            <w:tcW w:w="70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m</w:t>
            </w:r>
          </w:p>
        </w:tc>
        <w:tc>
          <w:tcPr>
            <w:tcW w:w="850"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2*3.25</w:t>
            </w:r>
          </w:p>
        </w:tc>
        <w:tc>
          <w:tcPr>
            <w:tcW w:w="851"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2*3.5</w:t>
            </w:r>
          </w:p>
        </w:tc>
        <w:tc>
          <w:tcPr>
            <w:tcW w:w="2211" w:type="dxa"/>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6</w:t>
            </w:r>
          </w:p>
        </w:tc>
        <w:tc>
          <w:tcPr>
            <w:tcW w:w="297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平曲线极限最小半径</w:t>
            </w:r>
          </w:p>
        </w:tc>
        <w:tc>
          <w:tcPr>
            <w:tcW w:w="70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m</w:t>
            </w:r>
          </w:p>
        </w:tc>
        <w:tc>
          <w:tcPr>
            <w:tcW w:w="850"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35</w:t>
            </w:r>
          </w:p>
        </w:tc>
        <w:tc>
          <w:tcPr>
            <w:tcW w:w="851"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25</w:t>
            </w:r>
          </w:p>
        </w:tc>
        <w:tc>
          <w:tcPr>
            <w:tcW w:w="2211"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K2+091.308</w:t>
            </w:r>
            <w:r>
              <w:rPr>
                <w:rFonts w:hint="eastAsia" w:cs="Times New Roman" w:eastAsiaTheme="minorEastAsia"/>
                <w:sz w:val="21"/>
                <w:szCs w:val="21"/>
                <w:lang w:val="en-US" w:eastAsia="zh-CN"/>
              </w:rPr>
              <w:t>-</w:t>
            </w:r>
            <w:r>
              <w:rPr>
                <w:rFonts w:ascii="Times New Roman" w:hAnsi="Times New Roman" w:cs="Times New Roman" w:eastAsiaTheme="minorEastAsia"/>
                <w:sz w:val="21"/>
                <w:szCs w:val="21"/>
              </w:rPr>
              <w:t>K2+155.533一处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7</w:t>
            </w:r>
          </w:p>
        </w:tc>
        <w:tc>
          <w:tcPr>
            <w:tcW w:w="297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平曲线一般最小半径</w:t>
            </w:r>
          </w:p>
        </w:tc>
        <w:tc>
          <w:tcPr>
            <w:tcW w:w="70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m</w:t>
            </w:r>
          </w:p>
        </w:tc>
        <w:tc>
          <w:tcPr>
            <w:tcW w:w="850"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65</w:t>
            </w:r>
          </w:p>
        </w:tc>
        <w:tc>
          <w:tcPr>
            <w:tcW w:w="851" w:type="dxa"/>
          </w:tcPr>
          <w:p>
            <w:pPr>
              <w:spacing w:line="240" w:lineRule="auto"/>
              <w:ind w:firstLine="0" w:firstLineChars="0"/>
              <w:jc w:val="center"/>
              <w:rPr>
                <w:rFonts w:ascii="Times New Roman" w:hAnsi="Times New Roman" w:cs="Times New Roman" w:eastAsiaTheme="minorEastAsia"/>
                <w:sz w:val="21"/>
                <w:szCs w:val="21"/>
              </w:rPr>
            </w:pPr>
          </w:p>
        </w:tc>
        <w:tc>
          <w:tcPr>
            <w:tcW w:w="2211" w:type="dxa"/>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8</w:t>
            </w:r>
          </w:p>
        </w:tc>
        <w:tc>
          <w:tcPr>
            <w:tcW w:w="297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最大纵坡</w:t>
            </w:r>
          </w:p>
        </w:tc>
        <w:tc>
          <w:tcPr>
            <w:tcW w:w="70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w:t>
            </w:r>
          </w:p>
        </w:tc>
        <w:tc>
          <w:tcPr>
            <w:tcW w:w="850"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8</w:t>
            </w:r>
          </w:p>
        </w:tc>
        <w:tc>
          <w:tcPr>
            <w:tcW w:w="851"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7.91</w:t>
            </w:r>
          </w:p>
        </w:tc>
        <w:tc>
          <w:tcPr>
            <w:tcW w:w="2211" w:type="dxa"/>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9</w:t>
            </w:r>
          </w:p>
        </w:tc>
        <w:tc>
          <w:tcPr>
            <w:tcW w:w="297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最小坡长</w:t>
            </w:r>
          </w:p>
        </w:tc>
        <w:tc>
          <w:tcPr>
            <w:tcW w:w="70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m</w:t>
            </w:r>
          </w:p>
        </w:tc>
        <w:tc>
          <w:tcPr>
            <w:tcW w:w="850"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100</w:t>
            </w:r>
          </w:p>
        </w:tc>
        <w:tc>
          <w:tcPr>
            <w:tcW w:w="851"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105</w:t>
            </w:r>
          </w:p>
        </w:tc>
        <w:tc>
          <w:tcPr>
            <w:tcW w:w="2211" w:type="dxa"/>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10</w:t>
            </w:r>
          </w:p>
        </w:tc>
        <w:tc>
          <w:tcPr>
            <w:tcW w:w="297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凸形竖曲线最小半径</w:t>
            </w:r>
          </w:p>
        </w:tc>
        <w:tc>
          <w:tcPr>
            <w:tcW w:w="70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m</w:t>
            </w:r>
          </w:p>
        </w:tc>
        <w:tc>
          <w:tcPr>
            <w:tcW w:w="850"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400</w:t>
            </w:r>
          </w:p>
        </w:tc>
        <w:tc>
          <w:tcPr>
            <w:tcW w:w="851"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600</w:t>
            </w:r>
          </w:p>
        </w:tc>
        <w:tc>
          <w:tcPr>
            <w:tcW w:w="2211" w:type="dxa"/>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11</w:t>
            </w:r>
          </w:p>
        </w:tc>
        <w:tc>
          <w:tcPr>
            <w:tcW w:w="297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凹形竖曲线最小半径</w:t>
            </w:r>
          </w:p>
        </w:tc>
        <w:tc>
          <w:tcPr>
            <w:tcW w:w="70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m</w:t>
            </w:r>
          </w:p>
        </w:tc>
        <w:tc>
          <w:tcPr>
            <w:tcW w:w="850"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400</w:t>
            </w:r>
          </w:p>
        </w:tc>
        <w:tc>
          <w:tcPr>
            <w:tcW w:w="851"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700</w:t>
            </w:r>
          </w:p>
        </w:tc>
        <w:tc>
          <w:tcPr>
            <w:tcW w:w="2211" w:type="dxa"/>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12</w:t>
            </w:r>
          </w:p>
        </w:tc>
        <w:tc>
          <w:tcPr>
            <w:tcW w:w="297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汽车荷载等级</w:t>
            </w:r>
          </w:p>
        </w:tc>
        <w:tc>
          <w:tcPr>
            <w:tcW w:w="709" w:type="dxa"/>
          </w:tcPr>
          <w:p>
            <w:pPr>
              <w:spacing w:line="240" w:lineRule="auto"/>
              <w:ind w:firstLine="0" w:firstLineChars="0"/>
              <w:jc w:val="center"/>
              <w:rPr>
                <w:rFonts w:ascii="Times New Roman" w:hAnsi="Times New Roman" w:cs="Times New Roman" w:eastAsiaTheme="minorEastAsia"/>
                <w:sz w:val="21"/>
                <w:szCs w:val="21"/>
              </w:rPr>
            </w:pPr>
          </w:p>
        </w:tc>
        <w:tc>
          <w:tcPr>
            <w:tcW w:w="1701" w:type="dxa"/>
            <w:gridSpan w:val="2"/>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公路-Ⅱ级</w:t>
            </w:r>
          </w:p>
        </w:tc>
        <w:tc>
          <w:tcPr>
            <w:tcW w:w="2211" w:type="dxa"/>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13</w:t>
            </w:r>
          </w:p>
        </w:tc>
        <w:tc>
          <w:tcPr>
            <w:tcW w:w="297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抗震标准</w:t>
            </w:r>
          </w:p>
        </w:tc>
        <w:tc>
          <w:tcPr>
            <w:tcW w:w="709" w:type="dxa"/>
          </w:tcPr>
          <w:p>
            <w:pPr>
              <w:spacing w:line="240" w:lineRule="auto"/>
              <w:ind w:firstLine="0" w:firstLineChars="0"/>
              <w:jc w:val="center"/>
              <w:rPr>
                <w:rFonts w:ascii="Times New Roman" w:hAnsi="Times New Roman" w:cs="Times New Roman" w:eastAsiaTheme="minorEastAsia"/>
                <w:sz w:val="21"/>
                <w:szCs w:val="21"/>
              </w:rPr>
            </w:pPr>
          </w:p>
        </w:tc>
        <w:tc>
          <w:tcPr>
            <w:tcW w:w="1701" w:type="dxa"/>
            <w:gridSpan w:val="2"/>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Ⅶ度</w:t>
            </w:r>
          </w:p>
        </w:tc>
        <w:tc>
          <w:tcPr>
            <w:tcW w:w="2211" w:type="dxa"/>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14</w:t>
            </w:r>
          </w:p>
        </w:tc>
        <w:tc>
          <w:tcPr>
            <w:tcW w:w="297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路面结构类型</w:t>
            </w:r>
          </w:p>
        </w:tc>
        <w:tc>
          <w:tcPr>
            <w:tcW w:w="709" w:type="dxa"/>
          </w:tcPr>
          <w:p>
            <w:pPr>
              <w:spacing w:line="240" w:lineRule="auto"/>
              <w:ind w:firstLine="0" w:firstLineChars="0"/>
              <w:jc w:val="center"/>
              <w:rPr>
                <w:rFonts w:ascii="Times New Roman" w:hAnsi="Times New Roman" w:cs="Times New Roman" w:eastAsiaTheme="minorEastAsia"/>
                <w:sz w:val="21"/>
                <w:szCs w:val="21"/>
              </w:rPr>
            </w:pPr>
          </w:p>
        </w:tc>
        <w:tc>
          <w:tcPr>
            <w:tcW w:w="1701" w:type="dxa"/>
            <w:gridSpan w:val="2"/>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沥青混凝土</w:t>
            </w:r>
          </w:p>
        </w:tc>
        <w:tc>
          <w:tcPr>
            <w:tcW w:w="2211" w:type="dxa"/>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15</w:t>
            </w:r>
          </w:p>
        </w:tc>
        <w:tc>
          <w:tcPr>
            <w:tcW w:w="297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桥梁宽度</w:t>
            </w:r>
          </w:p>
        </w:tc>
        <w:tc>
          <w:tcPr>
            <w:tcW w:w="70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m</w:t>
            </w:r>
          </w:p>
        </w:tc>
        <w:tc>
          <w:tcPr>
            <w:tcW w:w="1701" w:type="dxa"/>
            <w:gridSpan w:val="2"/>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8.0</w:t>
            </w:r>
          </w:p>
        </w:tc>
        <w:tc>
          <w:tcPr>
            <w:tcW w:w="2211"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利用既有桥梁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16</w:t>
            </w:r>
          </w:p>
        </w:tc>
        <w:tc>
          <w:tcPr>
            <w:tcW w:w="297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大、中桥设计洪水频率</w:t>
            </w:r>
          </w:p>
        </w:tc>
        <w:tc>
          <w:tcPr>
            <w:tcW w:w="709" w:type="dxa"/>
          </w:tcPr>
          <w:p>
            <w:pPr>
              <w:spacing w:line="240" w:lineRule="auto"/>
              <w:ind w:firstLine="0" w:firstLineChars="0"/>
              <w:jc w:val="center"/>
              <w:rPr>
                <w:rFonts w:ascii="Times New Roman" w:hAnsi="Times New Roman" w:cs="Times New Roman" w:eastAsiaTheme="minorEastAsia"/>
                <w:sz w:val="21"/>
                <w:szCs w:val="21"/>
              </w:rPr>
            </w:pPr>
          </w:p>
        </w:tc>
        <w:tc>
          <w:tcPr>
            <w:tcW w:w="1701" w:type="dxa"/>
            <w:gridSpan w:val="2"/>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1/50</w:t>
            </w:r>
          </w:p>
        </w:tc>
        <w:tc>
          <w:tcPr>
            <w:tcW w:w="2211" w:type="dxa"/>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17</w:t>
            </w:r>
          </w:p>
        </w:tc>
        <w:tc>
          <w:tcPr>
            <w:tcW w:w="297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小桥涵及路基设计洪水频率</w:t>
            </w:r>
          </w:p>
        </w:tc>
        <w:tc>
          <w:tcPr>
            <w:tcW w:w="709" w:type="dxa"/>
          </w:tcPr>
          <w:p>
            <w:pPr>
              <w:spacing w:line="240" w:lineRule="auto"/>
              <w:ind w:firstLine="0" w:firstLineChars="0"/>
              <w:jc w:val="center"/>
              <w:rPr>
                <w:rFonts w:ascii="Times New Roman" w:hAnsi="Times New Roman" w:cs="Times New Roman" w:eastAsiaTheme="minorEastAsia"/>
                <w:sz w:val="21"/>
                <w:szCs w:val="21"/>
              </w:rPr>
            </w:pPr>
          </w:p>
        </w:tc>
        <w:tc>
          <w:tcPr>
            <w:tcW w:w="1701" w:type="dxa"/>
            <w:gridSpan w:val="2"/>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1/25</w:t>
            </w:r>
          </w:p>
        </w:tc>
        <w:tc>
          <w:tcPr>
            <w:tcW w:w="2211" w:type="dxa"/>
          </w:tcPr>
          <w:p>
            <w:pPr>
              <w:spacing w:line="240" w:lineRule="auto"/>
              <w:ind w:firstLine="0" w:firstLineChars="0"/>
              <w:rPr>
                <w:rFonts w:ascii="Times New Roman" w:hAnsi="Times New Roman" w:cs="Times New Roman" w:eastAsiaTheme="minorEastAsia"/>
                <w:sz w:val="21"/>
                <w:szCs w:val="21"/>
              </w:rPr>
            </w:pPr>
          </w:p>
        </w:tc>
      </w:tr>
    </w:tbl>
    <w:p>
      <w:pPr>
        <w:ind w:firstLine="480"/>
        <w:rPr>
          <w:rFonts w:cs="Times New Roman"/>
        </w:rPr>
      </w:pPr>
      <w:r>
        <w:rPr>
          <w:rFonts w:hint="eastAsia" w:cs="Times New Roman"/>
        </w:rPr>
        <w:t>珠姆措</w:t>
      </w:r>
      <w:r>
        <w:rPr>
          <w:rFonts w:hint="eastAsia" w:cs="Times New Roman"/>
          <w:lang w:val="en-US" w:eastAsia="zh-CN"/>
        </w:rPr>
        <w:t>路</w:t>
      </w:r>
      <w:r>
        <w:rPr>
          <w:rFonts w:hint="eastAsia" w:cs="Times New Roman"/>
        </w:rPr>
        <w:t>全线长10.074</w:t>
      </w:r>
      <w:r>
        <w:rPr>
          <w:rFonts w:cs="Times New Roman"/>
        </w:rPr>
        <w:t xml:space="preserve"> </w:t>
      </w:r>
      <w:r>
        <w:rPr>
          <w:rFonts w:hint="eastAsia" w:cs="Times New Roman"/>
        </w:rPr>
        <w:t>km，平面共设交点41个，平均每公里4.070个，路线增长系数1.053，平曲线最小半径40</w:t>
      </w:r>
      <w:r>
        <w:rPr>
          <w:rFonts w:cs="Times New Roman"/>
        </w:rPr>
        <w:t xml:space="preserve"> </w:t>
      </w:r>
      <w:r>
        <w:rPr>
          <w:rFonts w:hint="eastAsia" w:cs="Times New Roman"/>
        </w:rPr>
        <w:t>m。平曲线总长4114.415</w:t>
      </w:r>
      <w:r>
        <w:rPr>
          <w:rFonts w:cs="Times New Roman"/>
        </w:rPr>
        <w:t xml:space="preserve"> </w:t>
      </w:r>
      <w:r>
        <w:rPr>
          <w:rFonts w:hint="eastAsia" w:cs="Times New Roman"/>
        </w:rPr>
        <w:t>m，占线路总长40.84%；最大纵坡7.984%，有1处</w:t>
      </w:r>
      <w:r>
        <w:rPr>
          <w:rFonts w:hint="eastAsia" w:cs="Times New Roman"/>
          <w:lang w:eastAsia="zh-CN"/>
        </w:rPr>
        <w:t>；</w:t>
      </w:r>
      <w:r>
        <w:rPr>
          <w:rFonts w:hint="eastAsia" w:cs="Times New Roman"/>
        </w:rPr>
        <w:t>最短坡长100</w:t>
      </w:r>
      <w:r>
        <w:rPr>
          <w:rFonts w:cs="Times New Roman"/>
        </w:rPr>
        <w:t xml:space="preserve"> </w:t>
      </w:r>
      <w:r>
        <w:rPr>
          <w:rFonts w:hint="eastAsia" w:cs="Times New Roman"/>
        </w:rPr>
        <w:t>m，竖曲线总长3206.409</w:t>
      </w:r>
      <w:r>
        <w:rPr>
          <w:rFonts w:cs="Times New Roman"/>
        </w:rPr>
        <w:t xml:space="preserve"> </w:t>
      </w:r>
      <w:r>
        <w:rPr>
          <w:rFonts w:hint="eastAsia" w:cs="Times New Roman"/>
        </w:rPr>
        <w:t>m，占线路总长31.827%</w:t>
      </w:r>
      <w:r>
        <w:rPr>
          <w:rFonts w:hint="eastAsia" w:cs="Times New Roman"/>
          <w:lang w:eastAsia="zh-CN"/>
        </w:rPr>
        <w:t>；</w:t>
      </w:r>
      <w:r>
        <w:rPr>
          <w:rFonts w:hint="eastAsia" w:cs="Times New Roman"/>
        </w:rPr>
        <w:t>平均每公里纵坡变坡次数4.765次，凸型竖曲线最小半径600</w:t>
      </w:r>
      <w:r>
        <w:rPr>
          <w:rFonts w:cs="Times New Roman"/>
        </w:rPr>
        <w:t xml:space="preserve"> </w:t>
      </w:r>
      <w:r>
        <w:rPr>
          <w:rFonts w:hint="eastAsia" w:cs="Times New Roman"/>
        </w:rPr>
        <w:t>m/1处，凹型竖曲线最小半径700</w:t>
      </w:r>
      <w:r>
        <w:rPr>
          <w:rFonts w:cs="Times New Roman"/>
        </w:rPr>
        <w:t xml:space="preserve"> </w:t>
      </w:r>
      <w:r>
        <w:rPr>
          <w:rFonts w:hint="eastAsia" w:cs="Times New Roman"/>
        </w:rPr>
        <w:t>m/3处，珠姆措</w:t>
      </w:r>
      <w:r>
        <w:rPr>
          <w:rFonts w:hint="eastAsia" w:cs="Times New Roman"/>
          <w:lang w:val="en-US" w:eastAsia="zh-CN"/>
        </w:rPr>
        <w:t>路</w:t>
      </w:r>
      <w:r>
        <w:rPr>
          <w:rFonts w:hint="eastAsia" w:cs="Times New Roman"/>
        </w:rPr>
        <w:t>主要技术指标表详见表</w:t>
      </w:r>
      <w:r>
        <w:rPr>
          <w:rFonts w:hint="eastAsia" w:cs="Times New Roman"/>
          <w:lang w:val="en-US" w:eastAsia="zh-CN"/>
        </w:rPr>
        <w:t>2</w:t>
      </w:r>
      <w:r>
        <w:rPr>
          <w:rFonts w:hint="eastAsia" w:cs="Times New Roman"/>
        </w:rPr>
        <w:t>-4。</w:t>
      </w:r>
    </w:p>
    <w:p>
      <w:pPr>
        <w:spacing w:after="32" w:afterLines="10"/>
        <w:ind w:firstLine="0" w:firstLineChars="0"/>
        <w:jc w:val="center"/>
        <w:rPr>
          <w:rFonts w:cs="Times New Roman"/>
          <w:szCs w:val="24"/>
        </w:rPr>
      </w:pPr>
      <w:r>
        <w:rPr>
          <w:rFonts w:cs="Times New Roman"/>
          <w:b/>
        </w:rPr>
        <w:t>表</w:t>
      </w:r>
      <w:r>
        <w:rPr>
          <w:rFonts w:hint="eastAsia" w:cs="Times New Roman"/>
          <w:b/>
          <w:lang w:val="en-US" w:eastAsia="zh-CN"/>
        </w:rPr>
        <w:t>2</w:t>
      </w:r>
      <w:r>
        <w:rPr>
          <w:rFonts w:cs="Times New Roman"/>
          <w:b/>
        </w:rPr>
        <w:t>-4</w:t>
      </w:r>
      <w:r>
        <w:rPr>
          <w:rFonts w:hint="eastAsia" w:cs="Times New Roman"/>
          <w:b/>
        </w:rPr>
        <w:t>珠姆措</w:t>
      </w:r>
      <w:r>
        <w:rPr>
          <w:rFonts w:hint="eastAsia" w:cs="Times New Roman"/>
          <w:b/>
          <w:lang w:val="en-US" w:eastAsia="zh-CN"/>
        </w:rPr>
        <w:t>路</w:t>
      </w:r>
      <w:r>
        <w:rPr>
          <w:rFonts w:cs="Times New Roman"/>
          <w:b/>
        </w:rPr>
        <w:t>主要技术指标表</w:t>
      </w:r>
    </w:p>
    <w:tbl>
      <w:tblPr>
        <w:tblStyle w:val="4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2"/>
        <w:gridCol w:w="2979"/>
        <w:gridCol w:w="709"/>
        <w:gridCol w:w="850"/>
        <w:gridCol w:w="851"/>
        <w:gridCol w:w="22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b/>
                <w:bCs/>
                <w:sz w:val="21"/>
                <w:szCs w:val="21"/>
              </w:rPr>
            </w:pPr>
            <w:r>
              <w:rPr>
                <w:rFonts w:ascii="Times New Roman" w:hAnsi="Times New Roman" w:cs="Times New Roman" w:eastAsiaTheme="minorEastAsia"/>
                <w:b/>
                <w:bCs/>
                <w:sz w:val="21"/>
                <w:szCs w:val="21"/>
              </w:rPr>
              <w:t>序号</w:t>
            </w:r>
          </w:p>
        </w:tc>
        <w:tc>
          <w:tcPr>
            <w:tcW w:w="2979" w:type="dxa"/>
          </w:tcPr>
          <w:p>
            <w:pPr>
              <w:spacing w:line="240" w:lineRule="auto"/>
              <w:ind w:firstLine="0" w:firstLineChars="0"/>
              <w:jc w:val="center"/>
              <w:rPr>
                <w:rFonts w:ascii="Times New Roman" w:hAnsi="Times New Roman" w:cs="Times New Roman" w:eastAsiaTheme="minorEastAsia"/>
                <w:b/>
                <w:bCs/>
                <w:sz w:val="21"/>
                <w:szCs w:val="21"/>
              </w:rPr>
            </w:pPr>
            <w:r>
              <w:rPr>
                <w:rFonts w:ascii="Times New Roman" w:hAnsi="Times New Roman" w:cs="Times New Roman" w:eastAsiaTheme="minorEastAsia"/>
                <w:b/>
                <w:bCs/>
                <w:sz w:val="21"/>
                <w:szCs w:val="21"/>
              </w:rPr>
              <w:t>指标名称</w:t>
            </w:r>
          </w:p>
        </w:tc>
        <w:tc>
          <w:tcPr>
            <w:tcW w:w="709" w:type="dxa"/>
          </w:tcPr>
          <w:p>
            <w:pPr>
              <w:spacing w:line="240" w:lineRule="auto"/>
              <w:ind w:firstLine="0" w:firstLineChars="0"/>
              <w:jc w:val="center"/>
              <w:rPr>
                <w:rFonts w:ascii="Times New Roman" w:hAnsi="Times New Roman" w:cs="Times New Roman" w:eastAsiaTheme="minorEastAsia"/>
                <w:b/>
                <w:bCs/>
                <w:sz w:val="21"/>
                <w:szCs w:val="21"/>
              </w:rPr>
            </w:pPr>
            <w:r>
              <w:rPr>
                <w:rFonts w:ascii="Times New Roman" w:hAnsi="Times New Roman" w:cs="Times New Roman" w:eastAsiaTheme="minorEastAsia"/>
                <w:b/>
                <w:bCs/>
                <w:sz w:val="21"/>
                <w:szCs w:val="21"/>
              </w:rPr>
              <w:t>单位</w:t>
            </w:r>
          </w:p>
        </w:tc>
        <w:tc>
          <w:tcPr>
            <w:tcW w:w="850" w:type="dxa"/>
          </w:tcPr>
          <w:p>
            <w:pPr>
              <w:spacing w:line="240" w:lineRule="auto"/>
              <w:ind w:firstLine="0" w:firstLineChars="0"/>
              <w:jc w:val="center"/>
              <w:rPr>
                <w:rFonts w:ascii="Times New Roman" w:hAnsi="Times New Roman" w:cs="Times New Roman" w:eastAsiaTheme="minorEastAsia"/>
                <w:b/>
                <w:bCs/>
                <w:sz w:val="21"/>
                <w:szCs w:val="21"/>
              </w:rPr>
            </w:pPr>
            <w:r>
              <w:rPr>
                <w:rFonts w:ascii="Times New Roman" w:hAnsi="Times New Roman" w:cs="Times New Roman" w:eastAsiaTheme="minorEastAsia"/>
                <w:b/>
                <w:bCs/>
                <w:sz w:val="21"/>
                <w:szCs w:val="21"/>
              </w:rPr>
              <w:t>规范值</w:t>
            </w:r>
          </w:p>
        </w:tc>
        <w:tc>
          <w:tcPr>
            <w:tcW w:w="851" w:type="dxa"/>
          </w:tcPr>
          <w:p>
            <w:pPr>
              <w:spacing w:line="240" w:lineRule="auto"/>
              <w:ind w:firstLine="0" w:firstLineChars="0"/>
              <w:jc w:val="center"/>
              <w:rPr>
                <w:rFonts w:ascii="Times New Roman" w:hAnsi="Times New Roman" w:cs="Times New Roman" w:eastAsiaTheme="minorEastAsia"/>
                <w:b/>
                <w:bCs/>
                <w:sz w:val="21"/>
                <w:szCs w:val="21"/>
              </w:rPr>
            </w:pPr>
            <w:r>
              <w:rPr>
                <w:rFonts w:ascii="Times New Roman" w:hAnsi="Times New Roman" w:cs="Times New Roman" w:eastAsiaTheme="minorEastAsia"/>
                <w:b/>
                <w:bCs/>
                <w:sz w:val="21"/>
                <w:szCs w:val="21"/>
              </w:rPr>
              <w:t>采用值</w:t>
            </w:r>
          </w:p>
        </w:tc>
        <w:tc>
          <w:tcPr>
            <w:tcW w:w="2211" w:type="dxa"/>
          </w:tcPr>
          <w:p>
            <w:pPr>
              <w:spacing w:line="240" w:lineRule="auto"/>
              <w:ind w:firstLine="0" w:firstLineChars="0"/>
              <w:jc w:val="center"/>
              <w:rPr>
                <w:rFonts w:ascii="Times New Roman" w:hAnsi="Times New Roman" w:cs="Times New Roman" w:eastAsiaTheme="minorEastAsia"/>
                <w:b/>
                <w:bCs/>
                <w:sz w:val="21"/>
                <w:szCs w:val="21"/>
              </w:rPr>
            </w:pPr>
            <w:r>
              <w:rPr>
                <w:rFonts w:ascii="Times New Roman" w:hAnsi="Times New Roman" w:cs="Times New Roman" w:eastAsiaTheme="minorEastAsia"/>
                <w:b/>
                <w:bCs/>
                <w:sz w:val="21"/>
                <w:szCs w:val="21"/>
              </w:rPr>
              <w:t>备</w:t>
            </w:r>
            <w:r>
              <w:rPr>
                <w:rFonts w:hint="eastAsia" w:cs="Times New Roman" w:eastAsiaTheme="minorEastAsia"/>
                <w:b/>
                <w:bCs/>
                <w:sz w:val="21"/>
                <w:szCs w:val="21"/>
                <w:lang w:val="en-US" w:eastAsia="zh-CN"/>
              </w:rPr>
              <w:t xml:space="preserve">  </w:t>
            </w:r>
            <w:r>
              <w:rPr>
                <w:rFonts w:ascii="Times New Roman" w:hAnsi="Times New Roman" w:cs="Times New Roman" w:eastAsiaTheme="minorEastAsia"/>
                <w:b/>
                <w:bCs/>
                <w:sz w:val="21"/>
                <w:szCs w:val="21"/>
              </w:rPr>
              <w:t>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w:t>
            </w:r>
          </w:p>
        </w:tc>
        <w:tc>
          <w:tcPr>
            <w:tcW w:w="297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里程</w:t>
            </w:r>
          </w:p>
        </w:tc>
        <w:tc>
          <w:tcPr>
            <w:tcW w:w="70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km</w:t>
            </w:r>
          </w:p>
        </w:tc>
        <w:tc>
          <w:tcPr>
            <w:tcW w:w="850" w:type="dxa"/>
          </w:tcPr>
          <w:p>
            <w:pPr>
              <w:spacing w:line="240" w:lineRule="auto"/>
              <w:ind w:firstLine="0" w:firstLineChars="0"/>
              <w:rPr>
                <w:rFonts w:ascii="Times New Roman" w:hAnsi="Times New Roman" w:cs="Times New Roman" w:eastAsiaTheme="minorEastAsia"/>
                <w:sz w:val="21"/>
                <w:szCs w:val="21"/>
              </w:rPr>
            </w:pPr>
          </w:p>
        </w:tc>
        <w:tc>
          <w:tcPr>
            <w:tcW w:w="851"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10.074</w:t>
            </w:r>
          </w:p>
        </w:tc>
        <w:tc>
          <w:tcPr>
            <w:tcW w:w="2211" w:type="dxa"/>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2</w:t>
            </w:r>
          </w:p>
        </w:tc>
        <w:tc>
          <w:tcPr>
            <w:tcW w:w="297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公路指标</w:t>
            </w:r>
          </w:p>
        </w:tc>
        <w:tc>
          <w:tcPr>
            <w:tcW w:w="709" w:type="dxa"/>
          </w:tcPr>
          <w:p>
            <w:pPr>
              <w:spacing w:line="240" w:lineRule="auto"/>
              <w:ind w:firstLine="0" w:firstLineChars="0"/>
              <w:rPr>
                <w:rFonts w:ascii="Times New Roman" w:hAnsi="Times New Roman" w:cs="Times New Roman" w:eastAsiaTheme="minorEastAsia"/>
                <w:sz w:val="21"/>
                <w:szCs w:val="21"/>
              </w:rPr>
            </w:pPr>
          </w:p>
        </w:tc>
        <w:tc>
          <w:tcPr>
            <w:tcW w:w="850" w:type="dxa"/>
          </w:tcPr>
          <w:p>
            <w:pPr>
              <w:spacing w:line="240" w:lineRule="auto"/>
              <w:ind w:firstLine="0" w:firstLineChars="0"/>
              <w:jc w:val="center"/>
              <w:rPr>
                <w:rFonts w:ascii="Times New Roman" w:hAnsi="Times New Roman" w:cs="Times New Roman" w:eastAsiaTheme="minorEastAsia"/>
                <w:sz w:val="21"/>
                <w:szCs w:val="21"/>
              </w:rPr>
            </w:pPr>
            <w:r>
              <w:rPr>
                <w:rFonts w:hint="eastAsia" w:ascii="Times New Roman" w:hAnsi="Times New Roman" w:cs="Times New Roman" w:eastAsiaTheme="minorEastAsia"/>
                <w:sz w:val="21"/>
                <w:szCs w:val="21"/>
              </w:rPr>
              <w:t>四</w:t>
            </w:r>
            <w:r>
              <w:rPr>
                <w:rFonts w:ascii="Times New Roman" w:hAnsi="Times New Roman" w:cs="Times New Roman" w:eastAsiaTheme="minorEastAsia"/>
                <w:sz w:val="21"/>
                <w:szCs w:val="21"/>
              </w:rPr>
              <w:t>级</w:t>
            </w:r>
          </w:p>
        </w:tc>
        <w:tc>
          <w:tcPr>
            <w:tcW w:w="851" w:type="dxa"/>
          </w:tcPr>
          <w:p>
            <w:pPr>
              <w:spacing w:line="240" w:lineRule="auto"/>
              <w:ind w:firstLine="0" w:firstLineChars="0"/>
              <w:jc w:val="center"/>
              <w:rPr>
                <w:rFonts w:ascii="Times New Roman" w:hAnsi="Times New Roman" w:cs="Times New Roman" w:eastAsiaTheme="minorEastAsia"/>
                <w:sz w:val="21"/>
                <w:szCs w:val="21"/>
              </w:rPr>
            </w:pPr>
            <w:r>
              <w:rPr>
                <w:rFonts w:hint="eastAsia" w:ascii="Times New Roman" w:hAnsi="Times New Roman" w:cs="Times New Roman" w:eastAsiaTheme="minorEastAsia"/>
                <w:sz w:val="21"/>
                <w:szCs w:val="21"/>
              </w:rPr>
              <w:t>四</w:t>
            </w:r>
            <w:r>
              <w:rPr>
                <w:rFonts w:ascii="Times New Roman" w:hAnsi="Times New Roman" w:cs="Times New Roman" w:eastAsiaTheme="minorEastAsia"/>
                <w:sz w:val="21"/>
                <w:szCs w:val="21"/>
              </w:rPr>
              <w:t>级</w:t>
            </w:r>
          </w:p>
        </w:tc>
        <w:tc>
          <w:tcPr>
            <w:tcW w:w="2211" w:type="dxa"/>
            <w:vMerge w:val="restart"/>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3</w:t>
            </w:r>
          </w:p>
        </w:tc>
        <w:tc>
          <w:tcPr>
            <w:tcW w:w="297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设计速度</w:t>
            </w:r>
          </w:p>
        </w:tc>
        <w:tc>
          <w:tcPr>
            <w:tcW w:w="70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Km/h</w:t>
            </w:r>
          </w:p>
        </w:tc>
        <w:tc>
          <w:tcPr>
            <w:tcW w:w="850"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30</w:t>
            </w:r>
          </w:p>
        </w:tc>
        <w:tc>
          <w:tcPr>
            <w:tcW w:w="851"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30</w:t>
            </w:r>
          </w:p>
        </w:tc>
        <w:tc>
          <w:tcPr>
            <w:tcW w:w="2211" w:type="dxa"/>
            <w:vMerge w:val="continue"/>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4</w:t>
            </w:r>
          </w:p>
        </w:tc>
        <w:tc>
          <w:tcPr>
            <w:tcW w:w="297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路基宽度</w:t>
            </w:r>
          </w:p>
        </w:tc>
        <w:tc>
          <w:tcPr>
            <w:tcW w:w="70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m</w:t>
            </w:r>
          </w:p>
        </w:tc>
        <w:tc>
          <w:tcPr>
            <w:tcW w:w="850"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7.5</w:t>
            </w:r>
          </w:p>
        </w:tc>
        <w:tc>
          <w:tcPr>
            <w:tcW w:w="851"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7.5</w:t>
            </w:r>
          </w:p>
        </w:tc>
        <w:tc>
          <w:tcPr>
            <w:tcW w:w="2211" w:type="dxa"/>
            <w:vMerge w:val="continue"/>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5</w:t>
            </w:r>
          </w:p>
        </w:tc>
        <w:tc>
          <w:tcPr>
            <w:tcW w:w="297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行车道宽度</w:t>
            </w:r>
          </w:p>
        </w:tc>
        <w:tc>
          <w:tcPr>
            <w:tcW w:w="70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m</w:t>
            </w:r>
          </w:p>
        </w:tc>
        <w:tc>
          <w:tcPr>
            <w:tcW w:w="850"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2*3.25</w:t>
            </w:r>
          </w:p>
        </w:tc>
        <w:tc>
          <w:tcPr>
            <w:tcW w:w="851"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2*3.25</w:t>
            </w:r>
          </w:p>
        </w:tc>
        <w:tc>
          <w:tcPr>
            <w:tcW w:w="2211" w:type="dxa"/>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6</w:t>
            </w:r>
          </w:p>
        </w:tc>
        <w:tc>
          <w:tcPr>
            <w:tcW w:w="297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平曲线极限最小半径</w:t>
            </w:r>
          </w:p>
        </w:tc>
        <w:tc>
          <w:tcPr>
            <w:tcW w:w="70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m</w:t>
            </w:r>
          </w:p>
        </w:tc>
        <w:tc>
          <w:tcPr>
            <w:tcW w:w="850"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35</w:t>
            </w:r>
          </w:p>
        </w:tc>
        <w:tc>
          <w:tcPr>
            <w:tcW w:w="851"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40</w:t>
            </w:r>
          </w:p>
        </w:tc>
        <w:tc>
          <w:tcPr>
            <w:tcW w:w="2211" w:type="dxa"/>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7</w:t>
            </w:r>
          </w:p>
        </w:tc>
        <w:tc>
          <w:tcPr>
            <w:tcW w:w="297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平曲线一般最小半径</w:t>
            </w:r>
          </w:p>
        </w:tc>
        <w:tc>
          <w:tcPr>
            <w:tcW w:w="70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m</w:t>
            </w:r>
          </w:p>
        </w:tc>
        <w:tc>
          <w:tcPr>
            <w:tcW w:w="850"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65</w:t>
            </w:r>
          </w:p>
        </w:tc>
        <w:tc>
          <w:tcPr>
            <w:tcW w:w="851" w:type="dxa"/>
          </w:tcPr>
          <w:p>
            <w:pPr>
              <w:spacing w:line="240" w:lineRule="auto"/>
              <w:ind w:firstLine="0" w:firstLineChars="0"/>
              <w:jc w:val="center"/>
              <w:rPr>
                <w:rFonts w:ascii="Times New Roman" w:hAnsi="Times New Roman" w:cs="Times New Roman" w:eastAsiaTheme="minorEastAsia"/>
                <w:sz w:val="21"/>
                <w:szCs w:val="21"/>
              </w:rPr>
            </w:pPr>
          </w:p>
        </w:tc>
        <w:tc>
          <w:tcPr>
            <w:tcW w:w="2211" w:type="dxa"/>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8</w:t>
            </w:r>
          </w:p>
        </w:tc>
        <w:tc>
          <w:tcPr>
            <w:tcW w:w="297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最大纵坡</w:t>
            </w:r>
          </w:p>
        </w:tc>
        <w:tc>
          <w:tcPr>
            <w:tcW w:w="70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w:t>
            </w:r>
          </w:p>
        </w:tc>
        <w:tc>
          <w:tcPr>
            <w:tcW w:w="850"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8</w:t>
            </w:r>
          </w:p>
        </w:tc>
        <w:tc>
          <w:tcPr>
            <w:tcW w:w="851"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7.984</w:t>
            </w:r>
          </w:p>
        </w:tc>
        <w:tc>
          <w:tcPr>
            <w:tcW w:w="2211" w:type="dxa"/>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9</w:t>
            </w:r>
          </w:p>
        </w:tc>
        <w:tc>
          <w:tcPr>
            <w:tcW w:w="297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最小坡长</w:t>
            </w:r>
          </w:p>
        </w:tc>
        <w:tc>
          <w:tcPr>
            <w:tcW w:w="70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m</w:t>
            </w:r>
          </w:p>
        </w:tc>
        <w:tc>
          <w:tcPr>
            <w:tcW w:w="850"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100</w:t>
            </w:r>
          </w:p>
        </w:tc>
        <w:tc>
          <w:tcPr>
            <w:tcW w:w="851"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100</w:t>
            </w:r>
          </w:p>
        </w:tc>
        <w:tc>
          <w:tcPr>
            <w:tcW w:w="2211" w:type="dxa"/>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10</w:t>
            </w:r>
          </w:p>
        </w:tc>
        <w:tc>
          <w:tcPr>
            <w:tcW w:w="297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凸形竖曲线最小半径</w:t>
            </w:r>
          </w:p>
        </w:tc>
        <w:tc>
          <w:tcPr>
            <w:tcW w:w="70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m</w:t>
            </w:r>
          </w:p>
        </w:tc>
        <w:tc>
          <w:tcPr>
            <w:tcW w:w="850"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400</w:t>
            </w:r>
          </w:p>
        </w:tc>
        <w:tc>
          <w:tcPr>
            <w:tcW w:w="851"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600</w:t>
            </w:r>
          </w:p>
        </w:tc>
        <w:tc>
          <w:tcPr>
            <w:tcW w:w="2211" w:type="dxa"/>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11</w:t>
            </w:r>
          </w:p>
        </w:tc>
        <w:tc>
          <w:tcPr>
            <w:tcW w:w="297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凹形竖曲线最小半径</w:t>
            </w:r>
          </w:p>
        </w:tc>
        <w:tc>
          <w:tcPr>
            <w:tcW w:w="70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m</w:t>
            </w:r>
          </w:p>
        </w:tc>
        <w:tc>
          <w:tcPr>
            <w:tcW w:w="850"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400</w:t>
            </w:r>
          </w:p>
        </w:tc>
        <w:tc>
          <w:tcPr>
            <w:tcW w:w="851"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700</w:t>
            </w:r>
          </w:p>
        </w:tc>
        <w:tc>
          <w:tcPr>
            <w:tcW w:w="2211" w:type="dxa"/>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12</w:t>
            </w:r>
          </w:p>
        </w:tc>
        <w:tc>
          <w:tcPr>
            <w:tcW w:w="297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汽车荷载等级</w:t>
            </w:r>
          </w:p>
        </w:tc>
        <w:tc>
          <w:tcPr>
            <w:tcW w:w="709" w:type="dxa"/>
          </w:tcPr>
          <w:p>
            <w:pPr>
              <w:spacing w:line="240" w:lineRule="auto"/>
              <w:ind w:firstLine="0" w:firstLineChars="0"/>
              <w:rPr>
                <w:rFonts w:ascii="Times New Roman" w:hAnsi="Times New Roman" w:cs="Times New Roman" w:eastAsiaTheme="minorEastAsia"/>
                <w:sz w:val="21"/>
                <w:szCs w:val="21"/>
              </w:rPr>
            </w:pPr>
          </w:p>
        </w:tc>
        <w:tc>
          <w:tcPr>
            <w:tcW w:w="1701" w:type="dxa"/>
            <w:gridSpan w:val="2"/>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公路-Ⅱ级</w:t>
            </w:r>
          </w:p>
        </w:tc>
        <w:tc>
          <w:tcPr>
            <w:tcW w:w="2211" w:type="dxa"/>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13</w:t>
            </w:r>
          </w:p>
        </w:tc>
        <w:tc>
          <w:tcPr>
            <w:tcW w:w="297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抗震标准</w:t>
            </w:r>
          </w:p>
        </w:tc>
        <w:tc>
          <w:tcPr>
            <w:tcW w:w="709" w:type="dxa"/>
          </w:tcPr>
          <w:p>
            <w:pPr>
              <w:spacing w:line="240" w:lineRule="auto"/>
              <w:ind w:firstLine="0" w:firstLineChars="0"/>
              <w:rPr>
                <w:rFonts w:ascii="Times New Roman" w:hAnsi="Times New Roman" w:cs="Times New Roman" w:eastAsiaTheme="minorEastAsia"/>
                <w:sz w:val="21"/>
                <w:szCs w:val="21"/>
              </w:rPr>
            </w:pPr>
          </w:p>
        </w:tc>
        <w:tc>
          <w:tcPr>
            <w:tcW w:w="1701" w:type="dxa"/>
            <w:gridSpan w:val="2"/>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Ⅶ度</w:t>
            </w:r>
          </w:p>
        </w:tc>
        <w:tc>
          <w:tcPr>
            <w:tcW w:w="2211" w:type="dxa"/>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14</w:t>
            </w:r>
          </w:p>
        </w:tc>
        <w:tc>
          <w:tcPr>
            <w:tcW w:w="297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路面结构类型</w:t>
            </w:r>
          </w:p>
        </w:tc>
        <w:tc>
          <w:tcPr>
            <w:tcW w:w="709" w:type="dxa"/>
          </w:tcPr>
          <w:p>
            <w:pPr>
              <w:spacing w:line="240" w:lineRule="auto"/>
              <w:ind w:firstLine="0" w:firstLineChars="0"/>
              <w:rPr>
                <w:rFonts w:ascii="Times New Roman" w:hAnsi="Times New Roman" w:cs="Times New Roman" w:eastAsiaTheme="minorEastAsia"/>
                <w:sz w:val="21"/>
                <w:szCs w:val="21"/>
              </w:rPr>
            </w:pPr>
          </w:p>
        </w:tc>
        <w:tc>
          <w:tcPr>
            <w:tcW w:w="1701" w:type="dxa"/>
            <w:gridSpan w:val="2"/>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沥青混凝土</w:t>
            </w:r>
          </w:p>
        </w:tc>
        <w:tc>
          <w:tcPr>
            <w:tcW w:w="2211" w:type="dxa"/>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15</w:t>
            </w:r>
          </w:p>
        </w:tc>
        <w:tc>
          <w:tcPr>
            <w:tcW w:w="297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桥梁宽度</w:t>
            </w:r>
          </w:p>
        </w:tc>
        <w:tc>
          <w:tcPr>
            <w:tcW w:w="70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m</w:t>
            </w:r>
          </w:p>
        </w:tc>
        <w:tc>
          <w:tcPr>
            <w:tcW w:w="1701" w:type="dxa"/>
            <w:gridSpan w:val="2"/>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8.0</w:t>
            </w:r>
          </w:p>
        </w:tc>
        <w:tc>
          <w:tcPr>
            <w:tcW w:w="2211"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利用既有桥梁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16</w:t>
            </w:r>
          </w:p>
        </w:tc>
        <w:tc>
          <w:tcPr>
            <w:tcW w:w="297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大、中桥设计洪水频率</w:t>
            </w:r>
          </w:p>
        </w:tc>
        <w:tc>
          <w:tcPr>
            <w:tcW w:w="709" w:type="dxa"/>
          </w:tcPr>
          <w:p>
            <w:pPr>
              <w:spacing w:line="240" w:lineRule="auto"/>
              <w:ind w:firstLine="0" w:firstLineChars="0"/>
              <w:rPr>
                <w:rFonts w:ascii="Times New Roman" w:hAnsi="Times New Roman" w:cs="Times New Roman" w:eastAsiaTheme="minorEastAsia"/>
                <w:sz w:val="21"/>
                <w:szCs w:val="21"/>
              </w:rPr>
            </w:pPr>
          </w:p>
        </w:tc>
        <w:tc>
          <w:tcPr>
            <w:tcW w:w="1701" w:type="dxa"/>
            <w:gridSpan w:val="2"/>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1/50</w:t>
            </w:r>
          </w:p>
        </w:tc>
        <w:tc>
          <w:tcPr>
            <w:tcW w:w="2211" w:type="dxa"/>
          </w:tcPr>
          <w:p>
            <w:pPr>
              <w:spacing w:line="240" w:lineRule="auto"/>
              <w:ind w:firstLine="0" w:firstLineChars="0"/>
              <w:rPr>
                <w:rFonts w:ascii="Times New Roman" w:hAnsi="Times New Roman" w:cs="Times New Roman" w:eastAsia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17</w:t>
            </w:r>
          </w:p>
        </w:tc>
        <w:tc>
          <w:tcPr>
            <w:tcW w:w="2979"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小桥涵及路基设计洪水频率</w:t>
            </w:r>
          </w:p>
        </w:tc>
        <w:tc>
          <w:tcPr>
            <w:tcW w:w="709" w:type="dxa"/>
          </w:tcPr>
          <w:p>
            <w:pPr>
              <w:spacing w:line="240" w:lineRule="auto"/>
              <w:ind w:firstLine="0" w:firstLineChars="0"/>
              <w:rPr>
                <w:rFonts w:ascii="Times New Roman" w:hAnsi="Times New Roman" w:cs="Times New Roman" w:eastAsiaTheme="minorEastAsia"/>
                <w:sz w:val="21"/>
                <w:szCs w:val="21"/>
              </w:rPr>
            </w:pPr>
          </w:p>
        </w:tc>
        <w:tc>
          <w:tcPr>
            <w:tcW w:w="1701" w:type="dxa"/>
            <w:gridSpan w:val="2"/>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1/25</w:t>
            </w:r>
          </w:p>
        </w:tc>
        <w:tc>
          <w:tcPr>
            <w:tcW w:w="2211" w:type="dxa"/>
          </w:tcPr>
          <w:p>
            <w:pPr>
              <w:spacing w:line="240" w:lineRule="auto"/>
              <w:ind w:firstLine="0" w:firstLineChars="0"/>
              <w:rPr>
                <w:rFonts w:ascii="Times New Roman" w:hAnsi="Times New Roman" w:cs="Times New Roman" w:eastAsiaTheme="minorEastAsia"/>
                <w:sz w:val="21"/>
                <w:szCs w:val="21"/>
              </w:rPr>
            </w:pPr>
          </w:p>
        </w:tc>
      </w:tr>
    </w:tbl>
    <w:p>
      <w:pPr>
        <w:pStyle w:val="6"/>
        <w:numPr>
          <w:ilvl w:val="3"/>
          <w:numId w:val="0"/>
        </w:numPr>
      </w:pPr>
      <w:r>
        <w:rPr>
          <w:rFonts w:hint="eastAsia"/>
          <w:lang w:val="en-US" w:eastAsia="zh-CN"/>
        </w:rPr>
        <w:t>2</w:t>
      </w:r>
      <w:r>
        <w:rPr>
          <w:rFonts w:hint="eastAsia"/>
        </w:rPr>
        <w:t>.</w:t>
      </w:r>
      <w:r>
        <w:rPr>
          <w:rFonts w:hint="eastAsia"/>
          <w:lang w:val="en-US" w:eastAsia="zh-CN"/>
        </w:rPr>
        <w:t>1</w:t>
      </w:r>
      <w:r>
        <w:rPr>
          <w:rFonts w:hint="eastAsia"/>
        </w:rPr>
        <w:t>.2.</w:t>
      </w:r>
      <w:r>
        <w:rPr>
          <w:rFonts w:hint="eastAsia"/>
          <w:lang w:val="en-US" w:eastAsia="zh-CN"/>
        </w:rPr>
        <w:t>3</w:t>
      </w:r>
      <w:r>
        <w:t>路基工程</w:t>
      </w:r>
    </w:p>
    <w:p>
      <w:pPr>
        <w:ind w:firstLine="482"/>
        <w:rPr>
          <w:rFonts w:cs="Times New Roman"/>
          <w:b/>
        </w:rPr>
      </w:pPr>
      <w:r>
        <w:rPr>
          <w:rFonts w:cs="Times New Roman"/>
          <w:b/>
        </w:rPr>
        <w:t>（一）路基宽度</w:t>
      </w:r>
    </w:p>
    <w:p>
      <w:pPr>
        <w:adjustRightInd w:val="0"/>
        <w:snapToGrid w:val="0"/>
        <w:ind w:firstLine="480"/>
        <w:rPr>
          <w:rFonts w:hint="eastAsia" w:eastAsia="宋体" w:cs="Times New Roman"/>
          <w:lang w:eastAsia="zh-CN"/>
        </w:rPr>
      </w:pPr>
      <w:r>
        <w:rPr>
          <w:rFonts w:hint="eastAsia" w:cs="Times New Roman"/>
        </w:rPr>
        <w:t>考虑项目沿线自然地理环境特征，社会、经济条件，综合前述对本项目技术标准应用的分析，在充分结合业主关于本项目的建设意见、建议的基础上，拟定阿莲路K0+0000～K24+664.133路基宽度为8.5m，路基宽度8.5m=2*3.5m行车道+2*0.75m土路肩组成</w:t>
      </w:r>
      <w:r>
        <w:rPr>
          <w:rFonts w:hint="eastAsia" w:cs="Times New Roman"/>
          <w:lang w:eastAsia="zh-CN"/>
        </w:rPr>
        <w:t>；</w:t>
      </w:r>
      <w:r>
        <w:rPr>
          <w:rFonts w:hint="eastAsia" w:cs="Times New Roman"/>
        </w:rPr>
        <w:t>阿莲路K24+664.133～K33+598.620段路基宽度为6.5m，路基宽度6.5m=2*3.0m行车道+2*0.25m土路肩组成</w:t>
      </w:r>
      <w:r>
        <w:rPr>
          <w:rFonts w:hint="eastAsia" w:cs="Times New Roman"/>
          <w:lang w:eastAsia="zh-CN"/>
        </w:rPr>
        <w:t>；在外侧需要设置安全护栏段需要对路基加宽50cm。珠姆措路基宽度为7.5m，路基宽度7.5m=2*3.25m 行车道+2*0.5m 土路肩组成。</w:t>
      </w:r>
    </w:p>
    <w:p>
      <w:pPr>
        <w:ind w:firstLine="482"/>
        <w:rPr>
          <w:rFonts w:cs="Times New Roman"/>
          <w:b/>
        </w:rPr>
      </w:pPr>
      <w:r>
        <w:rPr>
          <w:rFonts w:cs="Times New Roman"/>
          <w:b/>
        </w:rPr>
        <w:t>（二）路基设计标高</w:t>
      </w:r>
    </w:p>
    <w:p>
      <w:pPr>
        <w:ind w:firstLine="480"/>
        <w:rPr>
          <w:rFonts w:cs="Times New Roman"/>
        </w:rPr>
      </w:pPr>
      <w:r>
        <w:rPr>
          <w:rFonts w:cs="Times New Roman"/>
        </w:rPr>
        <w:t>全线路基设计标高为路中线标高，路基设计洪水频率为1/25。</w:t>
      </w:r>
    </w:p>
    <w:p>
      <w:pPr>
        <w:ind w:firstLine="482"/>
        <w:rPr>
          <w:rFonts w:cs="Times New Roman"/>
          <w:b/>
        </w:rPr>
      </w:pPr>
      <w:r>
        <w:rPr>
          <w:rFonts w:cs="Times New Roman"/>
          <w:b/>
        </w:rPr>
        <w:t>（三）</w:t>
      </w:r>
      <w:r>
        <w:rPr>
          <w:rFonts w:hint="eastAsia" w:cs="Times New Roman"/>
          <w:b/>
        </w:rPr>
        <w:t>路基</w:t>
      </w:r>
      <w:r>
        <w:rPr>
          <w:rFonts w:cs="Times New Roman"/>
          <w:b/>
        </w:rPr>
        <w:t>边坡坡率</w:t>
      </w:r>
    </w:p>
    <w:p>
      <w:pPr>
        <w:ind w:firstLine="480"/>
        <w:rPr>
          <w:rFonts w:cs="Times New Roman"/>
        </w:rPr>
      </w:pPr>
      <w:r>
        <w:rPr>
          <w:rFonts w:hint="eastAsia" w:cs="Times New Roman"/>
        </w:rPr>
        <w:t>路堤：一般路段填方均采用路基开挖的碎石土填筑，当地面自然横坡陡于1</w:t>
      </w:r>
      <w:r>
        <w:rPr>
          <w:rFonts w:hint="eastAsia" w:cs="Times New Roman"/>
          <w:lang w:eastAsia="zh-CN"/>
        </w:rPr>
        <w:t>：</w:t>
      </w:r>
      <w:r>
        <w:rPr>
          <w:rFonts w:hint="eastAsia" w:cs="Times New Roman"/>
        </w:rPr>
        <w:t>5时，开挖宽度不小于2.0</w:t>
      </w:r>
      <w:r>
        <w:rPr>
          <w:rFonts w:cs="Times New Roman"/>
        </w:rPr>
        <w:t xml:space="preserve"> </w:t>
      </w:r>
      <w:r>
        <w:rPr>
          <w:rFonts w:hint="eastAsia" w:cs="Times New Roman"/>
        </w:rPr>
        <w:t>m的台阶。地面横坡陡于1</w:t>
      </w:r>
      <w:r>
        <w:rPr>
          <w:rFonts w:hint="eastAsia" w:cs="Times New Roman"/>
          <w:lang w:eastAsia="zh-CN"/>
        </w:rPr>
        <w:t>：</w:t>
      </w:r>
      <w:r>
        <w:rPr>
          <w:rFonts w:hint="eastAsia" w:cs="Times New Roman"/>
        </w:rPr>
        <w:t>2.5地段的陡坡路堤，必须验算路堤整体沿基底及基底下软弱层滑动的稳定性，抗滑系数不得小于《公路路基设计规范》（JTG</w:t>
      </w:r>
      <w:r>
        <w:rPr>
          <w:rFonts w:cs="Times New Roman"/>
        </w:rPr>
        <w:t xml:space="preserve"> </w:t>
      </w:r>
      <w:r>
        <w:rPr>
          <w:rFonts w:hint="eastAsia" w:cs="Times New Roman"/>
        </w:rPr>
        <w:t>D30-2015）表3.6.11规定值，否则采取改善基底条件或设置支挡结构物等防滑措施。</w:t>
      </w:r>
    </w:p>
    <w:p>
      <w:pPr>
        <w:ind w:firstLine="480"/>
        <w:rPr>
          <w:rFonts w:cs="Times New Roman"/>
        </w:rPr>
      </w:pPr>
      <w:r>
        <w:rPr>
          <w:rFonts w:hint="eastAsia" w:cs="Times New Roman"/>
        </w:rPr>
        <w:t>路堑：根据工程地质与水文条件、边坡高度、排水防护措施、施工方法等，结合自然稳定边坡和人工边坡的调查综合拟定路堑坡率。</w:t>
      </w:r>
    </w:p>
    <w:p>
      <w:pPr>
        <w:ind w:firstLine="482"/>
        <w:rPr>
          <w:rFonts w:cs="Times New Roman"/>
          <w:b/>
        </w:rPr>
      </w:pPr>
      <w:r>
        <w:rPr>
          <w:rFonts w:cs="Times New Roman"/>
          <w:b/>
        </w:rPr>
        <w:t>（四）</w:t>
      </w:r>
      <w:r>
        <w:rPr>
          <w:rFonts w:hint="eastAsia" w:cs="Times New Roman"/>
          <w:b/>
        </w:rPr>
        <w:t>特殊</w:t>
      </w:r>
      <w:r>
        <w:rPr>
          <w:rFonts w:cs="Times New Roman"/>
          <w:b/>
        </w:rPr>
        <w:t>路基设计</w:t>
      </w:r>
    </w:p>
    <w:p>
      <w:pPr>
        <w:ind w:firstLine="480"/>
        <w:rPr>
          <w:rFonts w:cs="Times New Roman"/>
        </w:rPr>
      </w:pPr>
      <w:r>
        <w:rPr>
          <w:rFonts w:hint="eastAsia" w:cs="Times New Roman"/>
        </w:rPr>
        <w:t>（1）设计原则</w:t>
      </w:r>
    </w:p>
    <w:p>
      <w:pPr>
        <w:ind w:firstLine="480"/>
        <w:rPr>
          <w:rFonts w:cs="Times New Roman"/>
        </w:rPr>
      </w:pPr>
      <w:r>
        <w:rPr>
          <w:rFonts w:hint="eastAsia" w:cs="Times New Roman"/>
        </w:rPr>
        <w:t>根据项目具体情况对各类特殊路基的处理遵循以下原则：对存在一般小型灾害路段，可一次治理；对存在大型灾害路段，采取临时工程防护措施或暂不处理，但其路线标准和线位的选择，应以不触发和降低其活动性为原则。特殊路基工程应考虑气候环境、水和地质等因素对路基长期性能的影响，对可能造成的路基病害，应遵循预防为主、防治结合的原则，通过综合技术经济比较，因地制宜，采取有效的工程处理措施，保证路基稳定。分期治理时，应保证在各种因素的变化过程中不降低路基的安全度。</w:t>
      </w:r>
    </w:p>
    <w:p>
      <w:pPr>
        <w:ind w:firstLine="480"/>
        <w:rPr>
          <w:rFonts w:cs="Times New Roman"/>
        </w:rPr>
      </w:pPr>
      <w:r>
        <w:rPr>
          <w:rFonts w:hint="eastAsia" w:cs="Times New Roman"/>
        </w:rPr>
        <w:t>（2）常见路基病害的基本处理</w:t>
      </w:r>
    </w:p>
    <w:p>
      <w:pPr>
        <w:ind w:firstLine="480"/>
        <w:rPr>
          <w:rFonts w:cs="Times New Roman"/>
        </w:rPr>
      </w:pPr>
      <w:r>
        <w:rPr>
          <w:rFonts w:hint="eastAsia" w:cs="Times New Roman"/>
        </w:rPr>
        <w:t>①路基沉降</w:t>
      </w:r>
    </w:p>
    <w:p>
      <w:pPr>
        <w:ind w:firstLine="480"/>
        <w:rPr>
          <w:rFonts w:cs="Times New Roman"/>
        </w:rPr>
      </w:pPr>
      <w:r>
        <w:rPr>
          <w:rFonts w:hint="eastAsia" w:cs="Times New Roman"/>
        </w:rPr>
        <w:t>设计原则是尽可能选择软土分布层最薄最窄的区域，尽量接近山丘和地势较高，便于取土的地域；此外保证尽量远离水源区，避免通过半封闭和封闭的低洼地等；在纵断设计的时候要考虑软土的地基条件以及地下的水区和桥涵高度最低及路堤的极限高，不要选择太高或太低的路堤；在修建地基的时候要先填筑路堤，然后再其充分稳定以后再施工修建构造物，以防止太大的沉降和位移；在和桥梁涵洞等连接的时候，注意搭建踏板和临时性路面来防止施工后的破坏。根据相关工程经验，采取换填或抛石挤淤等方式基本可以满足路基沉降规定要求，下阶段应重点布置地质钻孔查清软弱地基的分布情况及特性，以进一步确定软土路基处理方案。</w:t>
      </w:r>
    </w:p>
    <w:p>
      <w:pPr>
        <w:ind w:firstLine="480"/>
        <w:rPr>
          <w:rFonts w:cs="Times New Roman"/>
        </w:rPr>
      </w:pPr>
      <w:r>
        <w:rPr>
          <w:rFonts w:hint="eastAsia" w:cs="Times New Roman"/>
        </w:rPr>
        <w:t>②挖方边坡软质岩体风化碎落（崩塌）</w:t>
      </w:r>
    </w:p>
    <w:p>
      <w:pPr>
        <w:ind w:firstLine="480"/>
        <w:rPr>
          <w:rFonts w:cs="Times New Roman"/>
          <w:b/>
        </w:rPr>
      </w:pPr>
      <w:r>
        <w:rPr>
          <w:rFonts w:hint="eastAsia" w:cs="Times New Roman"/>
        </w:rPr>
        <w:t>工程区出露地层以白垩系（粉砂质）砂岩、砾砂岩夹泥岩为主，泥岩抗风化差，遇水易软化，失水后风化脱落，长期暴露导致挖方边坡岩体风化坠落。沿线崩塌与岩堆分布范围和规模一般较小，边坡开挖坡率以1</w:t>
      </w:r>
      <w:r>
        <w:rPr>
          <w:rFonts w:hint="eastAsia" w:cs="Times New Roman"/>
          <w:lang w:eastAsia="zh-CN"/>
        </w:rPr>
        <w:t>：</w:t>
      </w:r>
      <w:r>
        <w:rPr>
          <w:rFonts w:hint="eastAsia" w:cs="Times New Roman"/>
        </w:rPr>
        <w:t>1～1</w:t>
      </w:r>
      <w:r>
        <w:rPr>
          <w:rFonts w:hint="eastAsia" w:cs="Times New Roman"/>
          <w:lang w:eastAsia="zh-CN"/>
        </w:rPr>
        <w:t>：</w:t>
      </w:r>
      <w:r>
        <w:rPr>
          <w:rFonts w:hint="eastAsia" w:cs="Times New Roman"/>
        </w:rPr>
        <w:t>0.75为宜，局部困难路段可采取增设挡土墙措施。</w:t>
      </w:r>
    </w:p>
    <w:p>
      <w:pPr>
        <w:ind w:firstLine="482"/>
        <w:rPr>
          <w:rFonts w:cs="Times New Roman"/>
          <w:b/>
        </w:rPr>
      </w:pPr>
      <w:r>
        <w:rPr>
          <w:rFonts w:cs="Times New Roman"/>
          <w:b/>
        </w:rPr>
        <w:t>（</w:t>
      </w:r>
      <w:r>
        <w:rPr>
          <w:rFonts w:hint="eastAsia" w:cs="Times New Roman"/>
          <w:b/>
        </w:rPr>
        <w:t>五</w:t>
      </w:r>
      <w:r>
        <w:rPr>
          <w:rFonts w:cs="Times New Roman"/>
          <w:b/>
        </w:rPr>
        <w:t>）</w:t>
      </w:r>
      <w:r>
        <w:rPr>
          <w:rFonts w:hint="eastAsia" w:cs="Times New Roman"/>
          <w:b/>
        </w:rPr>
        <w:t>路基、路面排水</w:t>
      </w:r>
    </w:p>
    <w:p>
      <w:pPr>
        <w:ind w:firstLine="480"/>
        <w:rPr>
          <w:rFonts w:cs="Times New Roman"/>
        </w:rPr>
      </w:pPr>
      <w:r>
        <w:rPr>
          <w:rFonts w:hint="eastAsia" w:cs="Times New Roman"/>
        </w:rPr>
        <w:t>为了减少因排水不畅造成路基的损坏，确保路基的稳定、路面的整体强度和减少病害，需对沿线路基设置完善的排水系统。排水系统由边沟、桥涵等构成。</w:t>
      </w:r>
    </w:p>
    <w:p>
      <w:pPr>
        <w:ind w:firstLine="480"/>
        <w:rPr>
          <w:rFonts w:cs="Times New Roman"/>
          <w:b/>
        </w:rPr>
      </w:pPr>
      <w:r>
        <w:rPr>
          <w:rFonts w:hint="eastAsia" w:cs="Times New Roman"/>
        </w:rPr>
        <w:t>设计时充分考虑排水防护及边坡加固措施。为保证路面水及时排出路基，行车道设2%的横坡，边沟应设计合理并与桥涵及天然沟渠形成完整通畅的排水体系。路基设计洪水频率按25年一遇设计。</w:t>
      </w:r>
    </w:p>
    <w:p>
      <w:pPr>
        <w:ind w:firstLine="482"/>
        <w:rPr>
          <w:rFonts w:cs="Times New Roman"/>
          <w:b/>
        </w:rPr>
      </w:pPr>
      <w:r>
        <w:rPr>
          <w:rFonts w:cs="Times New Roman"/>
          <w:b/>
        </w:rPr>
        <w:t>（</w:t>
      </w:r>
      <w:r>
        <w:rPr>
          <w:rFonts w:hint="eastAsia" w:cs="Times New Roman"/>
          <w:b/>
        </w:rPr>
        <w:t>六</w:t>
      </w:r>
      <w:r>
        <w:rPr>
          <w:rFonts w:cs="Times New Roman"/>
          <w:b/>
        </w:rPr>
        <w:t>）</w:t>
      </w:r>
      <w:r>
        <w:rPr>
          <w:rFonts w:hint="eastAsia" w:cs="Times New Roman"/>
          <w:b/>
        </w:rPr>
        <w:t>平曲线上加宽超高设计</w:t>
      </w:r>
    </w:p>
    <w:p>
      <w:pPr>
        <w:ind w:firstLine="480"/>
        <w:rPr>
          <w:rFonts w:cs="Times New Roman"/>
        </w:rPr>
      </w:pPr>
      <w:r>
        <w:rPr>
          <w:rFonts w:hint="eastAsia" w:cs="Times New Roman"/>
        </w:rPr>
        <w:t>结合现行规范、标准及有关规定，在路线加宽、超高上依据《公路路线设计规范》（JTG D20-2017）中有关要求实施。</w:t>
      </w:r>
    </w:p>
    <w:p>
      <w:pPr>
        <w:ind w:firstLine="480"/>
        <w:rPr>
          <w:rFonts w:cs="Times New Roman"/>
        </w:rPr>
      </w:pPr>
      <w:r>
        <w:rPr>
          <w:rFonts w:hint="eastAsia" w:cs="Times New Roman"/>
        </w:rPr>
        <w:t>（1）平曲线加宽方式</w:t>
      </w:r>
    </w:p>
    <w:p>
      <w:pPr>
        <w:ind w:firstLine="480"/>
        <w:rPr>
          <w:rFonts w:cs="Times New Roman"/>
        </w:rPr>
      </w:pPr>
      <w:r>
        <w:rPr>
          <w:rFonts w:hint="eastAsia" w:cs="Times New Roman"/>
        </w:rPr>
        <w:t>当平曲线半径小于等于250</w:t>
      </w:r>
      <w:r>
        <w:rPr>
          <w:rFonts w:cs="Times New Roman"/>
        </w:rPr>
        <w:t xml:space="preserve"> </w:t>
      </w:r>
      <w:r>
        <w:rPr>
          <w:rFonts w:hint="eastAsia" w:cs="Times New Roman"/>
        </w:rPr>
        <w:t>m时，双车道道路采用第一类加宽值进行弯道内侧加宽。</w:t>
      </w:r>
    </w:p>
    <w:p>
      <w:pPr>
        <w:ind w:firstLine="480"/>
        <w:rPr>
          <w:rFonts w:cs="Times New Roman"/>
        </w:rPr>
      </w:pPr>
      <w:r>
        <w:rPr>
          <w:rFonts w:hint="eastAsia" w:cs="Times New Roman"/>
        </w:rPr>
        <w:t>（2）平曲线超高方式</w:t>
      </w:r>
    </w:p>
    <w:p>
      <w:pPr>
        <w:ind w:firstLine="480"/>
        <w:rPr>
          <w:rFonts w:cs="Times New Roman"/>
        </w:rPr>
      </w:pPr>
      <w:r>
        <w:rPr>
          <w:rFonts w:hint="eastAsia" w:cs="Times New Roman"/>
        </w:rPr>
        <w:t>路基超高方式采用绕路基中心线旋转，三级公路圆曲线半径小于350</w:t>
      </w:r>
      <w:r>
        <w:rPr>
          <w:rFonts w:cs="Times New Roman"/>
        </w:rPr>
        <w:t xml:space="preserve"> </w:t>
      </w:r>
      <w:r>
        <w:rPr>
          <w:rFonts w:hint="eastAsia" w:cs="Times New Roman"/>
        </w:rPr>
        <w:t>m、四级公路圆曲线半径小于150</w:t>
      </w:r>
      <w:r>
        <w:rPr>
          <w:rFonts w:cs="Times New Roman"/>
        </w:rPr>
        <w:t xml:space="preserve"> </w:t>
      </w:r>
      <w:r>
        <w:rPr>
          <w:rFonts w:hint="eastAsia" w:cs="Times New Roman"/>
        </w:rPr>
        <w:t>m均应设置超高，依据《公路路线设计规范》（JTG D20-2017）7.5.1条，积雪冰冻地区二级公路、三级公路、四级公路最大超高为 6%，故本项目最大超高采用6%。计算超高缓和段时最短应符合渐变率1</w:t>
      </w:r>
      <w:r>
        <w:rPr>
          <w:rFonts w:hint="eastAsia" w:cs="Times New Roman"/>
          <w:lang w:eastAsia="zh-CN"/>
        </w:rPr>
        <w:t>：</w:t>
      </w:r>
      <w:r>
        <w:rPr>
          <w:rFonts w:hint="eastAsia" w:cs="Times New Roman"/>
        </w:rPr>
        <w:t>15且不小于10</w:t>
      </w:r>
      <w:r>
        <w:rPr>
          <w:rFonts w:cs="Times New Roman"/>
        </w:rPr>
        <w:t xml:space="preserve"> </w:t>
      </w:r>
      <w:r>
        <w:rPr>
          <w:rFonts w:hint="eastAsia" w:cs="Times New Roman"/>
        </w:rPr>
        <w:t>m的要求。对于大纵坡及按规范设超高后合成纵坡较大路段，设计中需对超高进行折减。</w:t>
      </w:r>
    </w:p>
    <w:p>
      <w:pPr>
        <w:ind w:firstLine="482"/>
        <w:rPr>
          <w:rFonts w:cs="Times New Roman"/>
          <w:b/>
        </w:rPr>
      </w:pPr>
      <w:r>
        <w:rPr>
          <w:rFonts w:cs="Times New Roman"/>
          <w:b/>
        </w:rPr>
        <w:t>（</w:t>
      </w:r>
      <w:r>
        <w:rPr>
          <w:rFonts w:hint="eastAsia" w:cs="Times New Roman"/>
          <w:b/>
        </w:rPr>
        <w:t>七</w:t>
      </w:r>
      <w:r>
        <w:rPr>
          <w:rFonts w:cs="Times New Roman"/>
          <w:b/>
        </w:rPr>
        <w:t>）</w:t>
      </w:r>
      <w:r>
        <w:rPr>
          <w:rFonts w:hint="eastAsia" w:cs="Times New Roman"/>
          <w:b/>
        </w:rPr>
        <w:t>路基防护</w:t>
      </w:r>
    </w:p>
    <w:p>
      <w:pPr>
        <w:ind w:firstLine="480"/>
        <w:rPr>
          <w:rFonts w:cs="Times New Roman"/>
        </w:rPr>
      </w:pPr>
      <w:r>
        <w:rPr>
          <w:rFonts w:hint="eastAsia" w:cs="Times New Roman"/>
        </w:rPr>
        <w:t>路基防护应当根据当地气候、水文、地形、地质条件及筑路材料分布情况，采取工程防护和植物防护相结合的综合措施，并与周围环境景观相协调。路基坡面防护应设置在稳定的边坡上，当土质和气候条件适宜时，宜采用植物防护；当植物防护坡面有可能产生冲刷时，应设置浆砌片石或水泥混凝土骨架；对完整性较好、稳定的弱、微、未风化硬质岩石边坡，可不作防护；当路基稳定性不足时，应设置必要的支挡加固工程。</w:t>
      </w:r>
    </w:p>
    <w:p>
      <w:pPr>
        <w:ind w:firstLine="482"/>
        <w:rPr>
          <w:rFonts w:cs="Times New Roman"/>
          <w:b/>
        </w:rPr>
      </w:pPr>
      <w:r>
        <w:rPr>
          <w:rFonts w:cs="Times New Roman"/>
          <w:b/>
        </w:rPr>
        <w:t>（</w:t>
      </w:r>
      <w:r>
        <w:rPr>
          <w:rFonts w:hint="eastAsia" w:cs="Times New Roman"/>
          <w:b/>
        </w:rPr>
        <w:t>八</w:t>
      </w:r>
      <w:r>
        <w:rPr>
          <w:rFonts w:cs="Times New Roman"/>
          <w:b/>
        </w:rPr>
        <w:t>）</w:t>
      </w:r>
      <w:r>
        <w:rPr>
          <w:rFonts w:hint="eastAsia" w:cs="Times New Roman"/>
          <w:b/>
        </w:rPr>
        <w:t>取土、弃土</w:t>
      </w:r>
    </w:p>
    <w:p>
      <w:pPr>
        <w:ind w:firstLine="480"/>
        <w:rPr>
          <w:rFonts w:cs="Times New Roman"/>
        </w:rPr>
      </w:pPr>
      <w:r>
        <w:rPr>
          <w:rFonts w:hint="eastAsia" w:cs="Times New Roman"/>
        </w:rPr>
        <w:t>本项目需设置取、弃土场以满足路基对土石方的需求。取土场应选取在路线视野范围外的山地处，弃土场主要设置在深沟及低矮平地处。由于项目区内耕地稀少，路线布设时尽量避免占用良田及民房，取土和弃土完毕后应对场地进行绿环。</w:t>
      </w:r>
    </w:p>
    <w:p>
      <w:pPr>
        <w:ind w:firstLine="482"/>
        <w:rPr>
          <w:rFonts w:cs="Times New Roman"/>
          <w:b/>
        </w:rPr>
      </w:pPr>
      <w:r>
        <w:rPr>
          <w:rFonts w:cs="Times New Roman"/>
          <w:b/>
        </w:rPr>
        <w:t>（</w:t>
      </w:r>
      <w:r>
        <w:rPr>
          <w:rFonts w:hint="eastAsia" w:cs="Times New Roman"/>
          <w:b/>
        </w:rPr>
        <w:t>九</w:t>
      </w:r>
      <w:r>
        <w:rPr>
          <w:rFonts w:cs="Times New Roman"/>
          <w:b/>
        </w:rPr>
        <w:t>）</w:t>
      </w:r>
      <w:r>
        <w:rPr>
          <w:rFonts w:hint="eastAsia" w:cs="Times New Roman"/>
          <w:b/>
        </w:rPr>
        <w:t>公路用地范围</w:t>
      </w:r>
    </w:p>
    <w:p>
      <w:pPr>
        <w:ind w:firstLine="480"/>
        <w:rPr>
          <w:rFonts w:cs="Times New Roman"/>
        </w:rPr>
      </w:pPr>
      <w:r>
        <w:rPr>
          <w:rFonts w:hint="eastAsia" w:cs="Times New Roman"/>
        </w:rPr>
        <w:t>路堤两侧排水沟沟口外1.0</w:t>
      </w:r>
      <w:r>
        <w:rPr>
          <w:rFonts w:cs="Times New Roman"/>
        </w:rPr>
        <w:t xml:space="preserve"> m</w:t>
      </w:r>
      <w:r>
        <w:rPr>
          <w:rFonts w:hint="eastAsia" w:cs="Times New Roman"/>
        </w:rPr>
        <w:t>，无排水沟时为路堤坡脚或构造物外1.0 m；路堑坡顶外1.0 m，有截水沟时，为截水沟以外1.0 m；沿河、塘路段视具体情况可适当放宽。</w:t>
      </w:r>
    </w:p>
    <w:p>
      <w:pPr>
        <w:pStyle w:val="6"/>
        <w:numPr>
          <w:ilvl w:val="3"/>
          <w:numId w:val="0"/>
        </w:numPr>
      </w:pPr>
      <w:r>
        <w:rPr>
          <w:rFonts w:hint="eastAsia"/>
          <w:lang w:val="en-US" w:eastAsia="zh-CN"/>
        </w:rPr>
        <w:t>2</w:t>
      </w:r>
      <w:r>
        <w:rPr>
          <w:rFonts w:hint="eastAsia"/>
        </w:rPr>
        <w:t>.</w:t>
      </w:r>
      <w:r>
        <w:rPr>
          <w:rFonts w:hint="eastAsia"/>
          <w:lang w:val="en-US" w:eastAsia="zh-CN"/>
        </w:rPr>
        <w:t>1</w:t>
      </w:r>
      <w:r>
        <w:rPr>
          <w:rFonts w:hint="eastAsia"/>
        </w:rPr>
        <w:t>.2.</w:t>
      </w:r>
      <w:r>
        <w:rPr>
          <w:rFonts w:hint="eastAsia"/>
          <w:lang w:val="en-US" w:eastAsia="zh-CN"/>
        </w:rPr>
        <w:t>4</w:t>
      </w:r>
      <w:r>
        <w:t>路面工程</w:t>
      </w:r>
    </w:p>
    <w:p>
      <w:pPr>
        <w:ind w:firstLine="482"/>
        <w:rPr>
          <w:rFonts w:cs="Times New Roman"/>
          <w:b/>
        </w:rPr>
      </w:pPr>
      <w:r>
        <w:rPr>
          <w:rFonts w:cs="Times New Roman"/>
          <w:b/>
        </w:rPr>
        <w:t>（一）</w:t>
      </w:r>
      <w:r>
        <w:rPr>
          <w:rFonts w:hint="eastAsia" w:cs="Times New Roman"/>
          <w:b/>
        </w:rPr>
        <w:t>设计原则</w:t>
      </w:r>
    </w:p>
    <w:p>
      <w:pPr>
        <w:ind w:firstLine="480"/>
        <w:rPr>
          <w:rFonts w:cs="Times New Roman"/>
        </w:rPr>
      </w:pPr>
      <w:r>
        <w:rPr>
          <w:rFonts w:hint="eastAsia" w:cs="Times New Roman"/>
        </w:rPr>
        <w:t>路线沿途地形较为复杂，根据预测交通量，道路等级对路面结构强度的要求以及地质、气象、水文等自然条件，结合沿线筑路材料供应情况和实践经验，参照四川省当前路面设计一般原则，路面以采用沥青混凝土路面较为适宜。</w:t>
      </w:r>
    </w:p>
    <w:p>
      <w:pPr>
        <w:ind w:firstLine="482"/>
        <w:rPr>
          <w:rFonts w:cs="Times New Roman"/>
          <w:b/>
        </w:rPr>
      </w:pPr>
      <w:r>
        <w:rPr>
          <w:rFonts w:cs="Times New Roman"/>
          <w:b/>
        </w:rPr>
        <w:t>（二）</w:t>
      </w:r>
      <w:r>
        <w:rPr>
          <w:rFonts w:hint="eastAsia" w:cs="Times New Roman"/>
          <w:b/>
        </w:rPr>
        <w:t>技术标准</w:t>
      </w:r>
    </w:p>
    <w:p>
      <w:pPr>
        <w:ind w:firstLine="480"/>
        <w:rPr>
          <w:rFonts w:cs="Times New Roman"/>
        </w:rPr>
      </w:pPr>
      <w:r>
        <w:rPr>
          <w:rFonts w:hint="eastAsia" w:cs="Times New Roman"/>
        </w:rPr>
        <w:t>路面设计依据《公路沥青路面设计规范》（JTG D50－2017）、《公路路面基层施工技术细则》（JTG/T F20-2015）等规范进行，采用以双轮组单轴轴载100KN为标准轴载，四级公路路面设计基准期8年。</w:t>
      </w:r>
    </w:p>
    <w:p>
      <w:pPr>
        <w:ind w:firstLine="482"/>
        <w:rPr>
          <w:rFonts w:cs="Times New Roman"/>
          <w:highlight w:val="none"/>
        </w:rPr>
      </w:pPr>
      <w:r>
        <w:rPr>
          <w:rFonts w:hint="eastAsia" w:cs="Times New Roman"/>
        </w:rPr>
        <w:t>根据预测交通量、道路等级，结合当地气象、水文、地质、筑路材料供应等情况，参考四川省内公路设计、使用经验及当地已建和在建公路施工经验教训，初步拟定路面形式为沥青混凝土路面。</w:t>
      </w:r>
      <w:r>
        <w:rPr>
          <w:rFonts w:cs="Times New Roman"/>
        </w:rPr>
        <w:cr/>
      </w:r>
      <w:r>
        <w:rPr>
          <w:rFonts w:hint="eastAsia" w:cs="Times New Roman"/>
          <w:lang w:val="en-US" w:eastAsia="zh-CN"/>
        </w:rPr>
        <w:t xml:space="preserve">  </w:t>
      </w:r>
      <w:r>
        <w:rPr>
          <w:rFonts w:hint="eastAsia" w:cs="Times New Roman"/>
          <w:highlight w:val="none"/>
          <w:lang w:val="en-US" w:eastAsia="zh-CN"/>
        </w:rPr>
        <w:t xml:space="preserve">  </w:t>
      </w:r>
      <w:r>
        <w:rPr>
          <w:rFonts w:cs="Times New Roman"/>
          <w:b/>
          <w:highlight w:val="none"/>
        </w:rPr>
        <w:t>（三）</w:t>
      </w:r>
      <w:r>
        <w:rPr>
          <w:rFonts w:hint="eastAsia" w:cs="Times New Roman"/>
          <w:b/>
          <w:highlight w:val="none"/>
        </w:rPr>
        <w:t>路面</w:t>
      </w:r>
      <w:r>
        <w:rPr>
          <w:rFonts w:cs="Times New Roman"/>
          <w:b/>
          <w:highlight w:val="none"/>
        </w:rPr>
        <w:t>结构</w:t>
      </w:r>
    </w:p>
    <w:p>
      <w:pPr>
        <w:ind w:firstLine="480"/>
        <w:rPr>
          <w:rFonts w:cs="Times New Roman"/>
          <w:kern w:val="0"/>
          <w:highlight w:val="none"/>
        </w:rPr>
      </w:pPr>
      <w:r>
        <w:rPr>
          <w:rFonts w:hint="eastAsia" w:cs="Times New Roman"/>
          <w:kern w:val="0"/>
          <w:highlight w:val="none"/>
        </w:rPr>
        <w:t>根据项目区内气候、温度和地质情况以及同一区域内同等级在建公路路面设计成果和实施情况，通过交通量预测分析拟建湿地公园内道路交通荷载等级为轻交通。</w:t>
      </w:r>
    </w:p>
    <w:p>
      <w:pPr>
        <w:ind w:firstLine="480"/>
        <w:rPr>
          <w:rFonts w:hint="eastAsia" w:cs="Times New Roman"/>
          <w:kern w:val="0"/>
          <w:highlight w:val="none"/>
        </w:rPr>
      </w:pPr>
      <w:r>
        <w:rPr>
          <w:rFonts w:hint="eastAsia" w:cs="Times New Roman"/>
          <w:kern w:val="0"/>
          <w:highlight w:val="none"/>
        </w:rPr>
        <w:t>经计算分析后拟定阿莲路路面方案：K0+000～K24+664.133 利用原路部分直接铣刨4cm沥青面层后加铺6.0cm 厚中粒式沥青混凝土AC-20C 下面层+4.0cm 厚细粒式沥青混凝土AC-13C上面层；加宽部分路面结构层为：</w:t>
      </w:r>
    </w:p>
    <w:p>
      <w:pPr>
        <w:ind w:firstLine="480"/>
        <w:rPr>
          <w:rFonts w:hint="eastAsia" w:cs="Times New Roman"/>
          <w:kern w:val="0"/>
          <w:highlight w:val="none"/>
        </w:rPr>
      </w:pPr>
      <w:r>
        <w:rPr>
          <w:rFonts w:hint="eastAsia" w:cs="Times New Roman"/>
          <w:kern w:val="0"/>
          <w:highlight w:val="none"/>
        </w:rPr>
        <w:t>上面层：4.0cm厚细粒式沥青混凝土AC-13C</w:t>
      </w:r>
    </w:p>
    <w:p>
      <w:pPr>
        <w:ind w:firstLine="480"/>
        <w:rPr>
          <w:rFonts w:hint="eastAsia" w:cs="Times New Roman"/>
          <w:kern w:val="0"/>
          <w:highlight w:val="none"/>
        </w:rPr>
      </w:pPr>
      <w:r>
        <w:rPr>
          <w:rFonts w:hint="eastAsia" w:cs="Times New Roman"/>
          <w:kern w:val="0"/>
          <w:highlight w:val="none"/>
        </w:rPr>
        <w:t>黏层</w:t>
      </w:r>
    </w:p>
    <w:p>
      <w:pPr>
        <w:ind w:firstLine="480"/>
        <w:rPr>
          <w:rFonts w:hint="eastAsia" w:cs="Times New Roman"/>
          <w:kern w:val="0"/>
          <w:highlight w:val="none"/>
        </w:rPr>
      </w:pPr>
      <w:r>
        <w:rPr>
          <w:rFonts w:hint="eastAsia" w:cs="Times New Roman"/>
          <w:kern w:val="0"/>
          <w:highlight w:val="none"/>
        </w:rPr>
        <w:t>下面层：6.0cm厚中粒式沥青混凝土AC-20C</w:t>
      </w:r>
    </w:p>
    <w:p>
      <w:pPr>
        <w:ind w:firstLine="480"/>
        <w:rPr>
          <w:rFonts w:hint="eastAsia" w:cs="Times New Roman"/>
          <w:kern w:val="0"/>
          <w:highlight w:val="none"/>
        </w:rPr>
      </w:pPr>
      <w:r>
        <w:rPr>
          <w:rFonts w:hint="eastAsia" w:cs="Times New Roman"/>
          <w:kern w:val="0"/>
          <w:highlight w:val="none"/>
        </w:rPr>
        <w:t>0.6cm封层+透层</w:t>
      </w:r>
    </w:p>
    <w:p>
      <w:pPr>
        <w:ind w:firstLine="480"/>
        <w:rPr>
          <w:rFonts w:hint="eastAsia" w:cs="Times New Roman"/>
          <w:kern w:val="0"/>
          <w:highlight w:val="none"/>
        </w:rPr>
      </w:pPr>
      <w:r>
        <w:rPr>
          <w:rFonts w:hint="eastAsia" w:cs="Times New Roman"/>
          <w:kern w:val="0"/>
          <w:highlight w:val="none"/>
        </w:rPr>
        <w:t>基 层：22cm 5%水泥稳定碎石</w:t>
      </w:r>
    </w:p>
    <w:p>
      <w:pPr>
        <w:ind w:firstLine="480"/>
        <w:rPr>
          <w:rFonts w:hint="eastAsia" w:cs="Times New Roman"/>
          <w:kern w:val="0"/>
          <w:highlight w:val="none"/>
        </w:rPr>
      </w:pPr>
      <w:r>
        <w:rPr>
          <w:rFonts w:hint="eastAsia" w:cs="Times New Roman"/>
          <w:kern w:val="0"/>
          <w:highlight w:val="none"/>
        </w:rPr>
        <w:t>功能层：20cm级配碎石层</w:t>
      </w:r>
    </w:p>
    <w:p>
      <w:pPr>
        <w:ind w:left="0" w:leftChars="0" w:firstLine="0" w:firstLineChars="0"/>
        <w:rPr>
          <w:rFonts w:hint="eastAsia" w:eastAsia="宋体" w:cs="Times New Roman"/>
          <w:kern w:val="0"/>
          <w:highlight w:val="none"/>
          <w:lang w:eastAsia="zh-CN"/>
        </w:rPr>
      </w:pPr>
      <w:r>
        <w:rPr>
          <w:rFonts w:hint="eastAsia" w:eastAsia="宋体" w:cs="Times New Roman"/>
          <w:kern w:val="0"/>
          <w:highlight w:val="none"/>
          <w:lang w:eastAsia="zh-CN"/>
        </w:rPr>
        <w:drawing>
          <wp:inline distT="0" distB="0" distL="114300" distR="114300">
            <wp:extent cx="5217795" cy="3050540"/>
            <wp:effectExtent l="0" t="0" r="1905" b="16510"/>
            <wp:docPr id="38" name="图片 38" descr="第二册 附图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第二册 附图 43"/>
                    <pic:cNvPicPr>
                      <a:picLocks noChangeAspect="1"/>
                    </pic:cNvPicPr>
                  </pic:nvPicPr>
                  <pic:blipFill>
                    <a:blip r:embed="rId23"/>
                    <a:srcRect l="19177" t="8446" r="13569" b="49906"/>
                    <a:stretch>
                      <a:fillRect/>
                    </a:stretch>
                  </pic:blipFill>
                  <pic:spPr>
                    <a:xfrm>
                      <a:off x="0" y="0"/>
                      <a:ext cx="5217795" cy="305054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after="32" w:afterLines="10" w:line="312" w:lineRule="auto"/>
        <w:ind w:firstLine="0" w:firstLineChars="0"/>
        <w:jc w:val="center"/>
        <w:textAlignment w:val="auto"/>
        <w:rPr>
          <w:rFonts w:hint="default" w:cs="Times New Roman"/>
          <w:b/>
          <w:sz w:val="24"/>
          <w:szCs w:val="24"/>
          <w:lang w:val="en-US" w:eastAsia="zh-CN"/>
        </w:rPr>
      </w:pPr>
      <w:r>
        <w:rPr>
          <w:rFonts w:hint="eastAsia" w:cs="Times New Roman"/>
          <w:b/>
          <w:sz w:val="24"/>
          <w:szCs w:val="24"/>
          <w:lang w:val="en-US" w:eastAsia="zh-CN"/>
        </w:rPr>
        <w:t>图2-1 K0+000～K24+664.133段路面结构方案图</w:t>
      </w:r>
    </w:p>
    <w:p>
      <w:pPr>
        <w:keepNext w:val="0"/>
        <w:keepLines w:val="0"/>
        <w:pageBreakBefore w:val="0"/>
        <w:widowControl w:val="0"/>
        <w:kinsoku/>
        <w:wordWrap/>
        <w:overflowPunct/>
        <w:topLinePunct w:val="0"/>
        <w:autoSpaceDE/>
        <w:autoSpaceDN/>
        <w:bidi w:val="0"/>
        <w:adjustRightInd/>
        <w:snapToGrid/>
        <w:spacing w:line="312" w:lineRule="auto"/>
        <w:ind w:firstLine="480"/>
        <w:textAlignment w:val="auto"/>
        <w:rPr>
          <w:rFonts w:hint="eastAsia" w:cs="Times New Roman"/>
          <w:kern w:val="0"/>
          <w:highlight w:val="none"/>
        </w:rPr>
      </w:pPr>
      <w:r>
        <w:rPr>
          <w:rFonts w:hint="eastAsia" w:cs="Times New Roman"/>
          <w:kern w:val="0"/>
          <w:highlight w:val="none"/>
        </w:rPr>
        <w:t>K24+664.133～K33+598.620 段路面改造，初步方案拟定对原路面铣刨3cm 后加铺5cmAC-13C SBS改性沥青混凝土面层。</w:t>
      </w:r>
    </w:p>
    <w:p>
      <w:pPr>
        <w:ind w:left="0" w:leftChars="0" w:firstLine="0" w:firstLineChars="0"/>
        <w:rPr>
          <w:rFonts w:hint="eastAsia" w:eastAsia="宋体" w:cs="Times New Roman"/>
          <w:kern w:val="0"/>
          <w:highlight w:val="none"/>
          <w:lang w:eastAsia="zh-CN"/>
        </w:rPr>
      </w:pPr>
      <w:r>
        <w:rPr>
          <w:rFonts w:hint="eastAsia" w:eastAsia="宋体" w:cs="Times New Roman"/>
          <w:kern w:val="0"/>
          <w:highlight w:val="none"/>
          <w:lang w:eastAsia="zh-CN"/>
        </w:rPr>
        <w:drawing>
          <wp:inline distT="0" distB="0" distL="114300" distR="114300">
            <wp:extent cx="5177790" cy="2808605"/>
            <wp:effectExtent l="0" t="0" r="3810" b="10795"/>
            <wp:docPr id="39" name="图片 39" descr="第二册 附图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第二册 附图 43"/>
                    <pic:cNvPicPr>
                      <a:picLocks noChangeAspect="1"/>
                    </pic:cNvPicPr>
                  </pic:nvPicPr>
                  <pic:blipFill>
                    <a:blip r:embed="rId23"/>
                    <a:srcRect l="19901" t="49787" r="28621" b="10715"/>
                    <a:stretch>
                      <a:fillRect/>
                    </a:stretch>
                  </pic:blipFill>
                  <pic:spPr>
                    <a:xfrm>
                      <a:off x="0" y="0"/>
                      <a:ext cx="5177790" cy="28086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12" w:lineRule="auto"/>
        <w:ind w:left="0" w:leftChars="0" w:firstLine="0" w:firstLineChars="0"/>
        <w:jc w:val="center"/>
        <w:textAlignment w:val="auto"/>
        <w:rPr>
          <w:rFonts w:hint="eastAsia" w:cs="Times New Roman"/>
          <w:kern w:val="0"/>
          <w:highlight w:val="none"/>
        </w:rPr>
      </w:pPr>
      <w:r>
        <w:rPr>
          <w:rFonts w:hint="eastAsia" w:cs="Times New Roman"/>
          <w:b/>
          <w:sz w:val="24"/>
          <w:szCs w:val="24"/>
          <w:lang w:val="en-US" w:eastAsia="zh-CN"/>
        </w:rPr>
        <w:t>图2-2 K24+664.133～K33+598.620段路面结构方案图</w:t>
      </w:r>
    </w:p>
    <w:p>
      <w:pPr>
        <w:keepNext w:val="0"/>
        <w:keepLines w:val="0"/>
        <w:pageBreakBefore w:val="0"/>
        <w:widowControl w:val="0"/>
        <w:kinsoku/>
        <w:wordWrap/>
        <w:overflowPunct/>
        <w:topLinePunct w:val="0"/>
        <w:autoSpaceDE/>
        <w:autoSpaceDN/>
        <w:bidi w:val="0"/>
        <w:adjustRightInd/>
        <w:snapToGrid/>
        <w:spacing w:line="312" w:lineRule="auto"/>
        <w:ind w:firstLine="480"/>
        <w:textAlignment w:val="auto"/>
        <w:rPr>
          <w:rFonts w:cs="Times New Roman"/>
          <w:kern w:val="0"/>
          <w:highlight w:val="none"/>
        </w:rPr>
      </w:pPr>
      <w:r>
        <w:rPr>
          <w:rFonts w:hint="eastAsia" w:cs="Times New Roman"/>
          <w:kern w:val="0"/>
          <w:highlight w:val="none"/>
        </w:rPr>
        <w:t>拟定珠姆措路面方案为：</w:t>
      </w:r>
    </w:p>
    <w:p>
      <w:pPr>
        <w:keepNext w:val="0"/>
        <w:keepLines w:val="0"/>
        <w:pageBreakBefore w:val="0"/>
        <w:widowControl w:val="0"/>
        <w:kinsoku/>
        <w:wordWrap/>
        <w:overflowPunct/>
        <w:topLinePunct w:val="0"/>
        <w:autoSpaceDE/>
        <w:autoSpaceDN/>
        <w:bidi w:val="0"/>
        <w:adjustRightInd/>
        <w:snapToGrid/>
        <w:spacing w:line="312" w:lineRule="auto"/>
        <w:ind w:firstLine="480"/>
        <w:textAlignment w:val="auto"/>
        <w:rPr>
          <w:rFonts w:cs="Times New Roman"/>
          <w:kern w:val="0"/>
          <w:highlight w:val="none"/>
        </w:rPr>
      </w:pPr>
      <w:r>
        <w:rPr>
          <w:rFonts w:hint="eastAsia" w:cs="Times New Roman"/>
          <w:kern w:val="0"/>
          <w:highlight w:val="none"/>
        </w:rPr>
        <w:t>上面层：3.5</w:t>
      </w:r>
      <w:r>
        <w:rPr>
          <w:rFonts w:cs="Times New Roman"/>
          <w:kern w:val="0"/>
          <w:highlight w:val="none"/>
        </w:rPr>
        <w:t xml:space="preserve"> </w:t>
      </w:r>
      <w:r>
        <w:rPr>
          <w:rFonts w:hint="eastAsia" w:cs="Times New Roman"/>
          <w:kern w:val="0"/>
          <w:highlight w:val="none"/>
        </w:rPr>
        <w:t xml:space="preserve">cm 厚细粒式沥青混凝土 AC-13C </w:t>
      </w:r>
    </w:p>
    <w:p>
      <w:pPr>
        <w:keepNext w:val="0"/>
        <w:keepLines w:val="0"/>
        <w:pageBreakBefore w:val="0"/>
        <w:widowControl w:val="0"/>
        <w:kinsoku/>
        <w:wordWrap/>
        <w:overflowPunct/>
        <w:topLinePunct w:val="0"/>
        <w:autoSpaceDE/>
        <w:autoSpaceDN/>
        <w:bidi w:val="0"/>
        <w:adjustRightInd/>
        <w:snapToGrid/>
        <w:spacing w:line="312" w:lineRule="auto"/>
        <w:ind w:firstLine="480"/>
        <w:textAlignment w:val="auto"/>
        <w:rPr>
          <w:rFonts w:cs="Times New Roman"/>
          <w:kern w:val="0"/>
          <w:highlight w:val="none"/>
        </w:rPr>
      </w:pPr>
      <w:r>
        <w:rPr>
          <w:rFonts w:hint="eastAsia" w:cs="Times New Roman"/>
          <w:kern w:val="0"/>
          <w:highlight w:val="none"/>
        </w:rPr>
        <w:t>黏层</w:t>
      </w:r>
    </w:p>
    <w:p>
      <w:pPr>
        <w:keepNext w:val="0"/>
        <w:keepLines w:val="0"/>
        <w:pageBreakBefore w:val="0"/>
        <w:widowControl w:val="0"/>
        <w:kinsoku/>
        <w:wordWrap/>
        <w:overflowPunct/>
        <w:topLinePunct w:val="0"/>
        <w:autoSpaceDE/>
        <w:autoSpaceDN/>
        <w:bidi w:val="0"/>
        <w:adjustRightInd/>
        <w:snapToGrid/>
        <w:spacing w:line="312" w:lineRule="auto"/>
        <w:ind w:firstLine="480"/>
        <w:textAlignment w:val="auto"/>
        <w:rPr>
          <w:rFonts w:cs="Times New Roman"/>
          <w:kern w:val="0"/>
          <w:highlight w:val="none"/>
        </w:rPr>
      </w:pPr>
      <w:r>
        <w:rPr>
          <w:rFonts w:hint="eastAsia" w:cs="Times New Roman"/>
          <w:kern w:val="0"/>
          <w:highlight w:val="none"/>
        </w:rPr>
        <w:t>下面层：4.0</w:t>
      </w:r>
      <w:r>
        <w:rPr>
          <w:rFonts w:cs="Times New Roman"/>
          <w:kern w:val="0"/>
          <w:highlight w:val="none"/>
        </w:rPr>
        <w:t xml:space="preserve"> </w:t>
      </w:r>
      <w:r>
        <w:rPr>
          <w:rFonts w:hint="eastAsia" w:cs="Times New Roman"/>
          <w:kern w:val="0"/>
          <w:highlight w:val="none"/>
        </w:rPr>
        <w:t xml:space="preserve">cm 厚中粒式沥青混凝土 AC-16C </w:t>
      </w:r>
    </w:p>
    <w:p>
      <w:pPr>
        <w:keepNext w:val="0"/>
        <w:keepLines w:val="0"/>
        <w:pageBreakBefore w:val="0"/>
        <w:widowControl w:val="0"/>
        <w:kinsoku/>
        <w:wordWrap/>
        <w:overflowPunct/>
        <w:topLinePunct w:val="0"/>
        <w:autoSpaceDE/>
        <w:autoSpaceDN/>
        <w:bidi w:val="0"/>
        <w:adjustRightInd/>
        <w:snapToGrid/>
        <w:spacing w:line="312" w:lineRule="auto"/>
        <w:ind w:firstLine="480"/>
        <w:textAlignment w:val="auto"/>
        <w:rPr>
          <w:rFonts w:cs="Times New Roman"/>
          <w:kern w:val="0"/>
          <w:highlight w:val="none"/>
        </w:rPr>
      </w:pPr>
      <w:r>
        <w:rPr>
          <w:rFonts w:hint="eastAsia" w:cs="Times New Roman"/>
          <w:kern w:val="0"/>
          <w:highlight w:val="none"/>
        </w:rPr>
        <w:t>0.6</w:t>
      </w:r>
      <w:r>
        <w:rPr>
          <w:rFonts w:cs="Times New Roman"/>
          <w:kern w:val="0"/>
          <w:highlight w:val="none"/>
        </w:rPr>
        <w:t xml:space="preserve"> </w:t>
      </w:r>
      <w:r>
        <w:rPr>
          <w:rFonts w:hint="eastAsia" w:cs="Times New Roman"/>
          <w:kern w:val="0"/>
          <w:highlight w:val="none"/>
        </w:rPr>
        <w:t>cm 封层+透层</w:t>
      </w:r>
    </w:p>
    <w:p>
      <w:pPr>
        <w:keepNext w:val="0"/>
        <w:keepLines w:val="0"/>
        <w:pageBreakBefore w:val="0"/>
        <w:widowControl w:val="0"/>
        <w:kinsoku/>
        <w:wordWrap/>
        <w:overflowPunct/>
        <w:topLinePunct w:val="0"/>
        <w:autoSpaceDE/>
        <w:autoSpaceDN/>
        <w:bidi w:val="0"/>
        <w:adjustRightInd/>
        <w:snapToGrid/>
        <w:spacing w:line="312" w:lineRule="auto"/>
        <w:ind w:firstLine="480"/>
        <w:textAlignment w:val="auto"/>
        <w:rPr>
          <w:rFonts w:cs="Times New Roman"/>
          <w:kern w:val="0"/>
          <w:highlight w:val="none"/>
        </w:rPr>
      </w:pPr>
      <w:r>
        <w:rPr>
          <w:rFonts w:hint="eastAsia" w:cs="Times New Roman"/>
          <w:kern w:val="0"/>
          <w:highlight w:val="none"/>
        </w:rPr>
        <w:t>基层：20</w:t>
      </w:r>
      <w:r>
        <w:rPr>
          <w:rFonts w:cs="Times New Roman"/>
          <w:kern w:val="0"/>
          <w:highlight w:val="none"/>
        </w:rPr>
        <w:t xml:space="preserve"> </w:t>
      </w:r>
      <w:r>
        <w:rPr>
          <w:rFonts w:hint="eastAsia" w:cs="Times New Roman"/>
          <w:kern w:val="0"/>
          <w:highlight w:val="none"/>
        </w:rPr>
        <w:t>cm 5%水泥稳定碎石</w:t>
      </w:r>
    </w:p>
    <w:p>
      <w:pPr>
        <w:keepNext w:val="0"/>
        <w:keepLines w:val="0"/>
        <w:pageBreakBefore w:val="0"/>
        <w:widowControl w:val="0"/>
        <w:kinsoku/>
        <w:wordWrap/>
        <w:overflowPunct/>
        <w:topLinePunct w:val="0"/>
        <w:autoSpaceDE/>
        <w:autoSpaceDN/>
        <w:bidi w:val="0"/>
        <w:adjustRightInd/>
        <w:snapToGrid/>
        <w:spacing w:line="312" w:lineRule="auto"/>
        <w:ind w:firstLine="480"/>
        <w:textAlignment w:val="auto"/>
        <w:rPr>
          <w:rFonts w:hint="eastAsia" w:cs="Times New Roman"/>
          <w:kern w:val="0"/>
          <w:highlight w:val="none"/>
        </w:rPr>
      </w:pPr>
      <w:r>
        <w:rPr>
          <w:rFonts w:hint="eastAsia" w:cs="Times New Roman"/>
          <w:kern w:val="0"/>
          <w:highlight w:val="none"/>
        </w:rPr>
        <w:t>功能层：15</w:t>
      </w:r>
      <w:r>
        <w:rPr>
          <w:rFonts w:cs="Times New Roman"/>
          <w:kern w:val="0"/>
          <w:highlight w:val="none"/>
        </w:rPr>
        <w:t xml:space="preserve"> </w:t>
      </w:r>
      <w:r>
        <w:rPr>
          <w:rFonts w:hint="eastAsia" w:cs="Times New Roman"/>
          <w:kern w:val="0"/>
          <w:highlight w:val="none"/>
        </w:rPr>
        <w:t>cm级配碎石层</w:t>
      </w:r>
    </w:p>
    <w:p>
      <w:pPr>
        <w:ind w:left="0" w:leftChars="0" w:firstLine="0" w:firstLineChars="0"/>
        <w:rPr>
          <w:rFonts w:hint="eastAsia" w:eastAsia="宋体" w:cs="Times New Roman"/>
          <w:kern w:val="0"/>
          <w:highlight w:val="none"/>
          <w:lang w:eastAsia="zh-CN"/>
        </w:rPr>
      </w:pPr>
      <w:r>
        <w:rPr>
          <w:rFonts w:hint="eastAsia" w:eastAsia="宋体" w:cs="Times New Roman"/>
          <w:kern w:val="0"/>
          <w:highlight w:val="none"/>
          <w:lang w:eastAsia="zh-CN"/>
        </w:rPr>
        <w:drawing>
          <wp:inline distT="0" distB="0" distL="114300" distR="114300">
            <wp:extent cx="5221605" cy="3062605"/>
            <wp:effectExtent l="0" t="0" r="17145" b="4445"/>
            <wp:docPr id="40" name="图片 40" descr="第二册 附图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第二册 附图 44"/>
                    <pic:cNvPicPr>
                      <a:picLocks noChangeAspect="1"/>
                    </pic:cNvPicPr>
                  </pic:nvPicPr>
                  <pic:blipFill>
                    <a:blip r:embed="rId24"/>
                    <a:srcRect l="17923" t="15816" r="29924" b="32111"/>
                    <a:stretch>
                      <a:fillRect/>
                    </a:stretch>
                  </pic:blipFill>
                  <pic:spPr>
                    <a:xfrm>
                      <a:off x="0" y="0"/>
                      <a:ext cx="5221605" cy="3062605"/>
                    </a:xfrm>
                    <a:prstGeom prst="rect">
                      <a:avLst/>
                    </a:prstGeom>
                  </pic:spPr>
                </pic:pic>
              </a:graphicData>
            </a:graphic>
          </wp:inline>
        </w:drawing>
      </w:r>
    </w:p>
    <w:p>
      <w:pPr>
        <w:ind w:left="0" w:leftChars="0" w:firstLine="0" w:firstLineChars="0"/>
        <w:jc w:val="center"/>
        <w:rPr>
          <w:rFonts w:hint="eastAsia" w:cs="Times New Roman"/>
          <w:kern w:val="0"/>
          <w:highlight w:val="none"/>
        </w:rPr>
      </w:pPr>
      <w:r>
        <w:rPr>
          <w:rFonts w:hint="eastAsia" w:cs="Times New Roman"/>
          <w:b/>
          <w:sz w:val="24"/>
          <w:szCs w:val="24"/>
          <w:lang w:val="en-US" w:eastAsia="zh-CN"/>
        </w:rPr>
        <w:t>图2-3 珠姆措路面结构方案图</w:t>
      </w:r>
    </w:p>
    <w:p>
      <w:pPr>
        <w:pStyle w:val="6"/>
        <w:numPr>
          <w:ilvl w:val="3"/>
          <w:numId w:val="0"/>
        </w:numPr>
        <w:rPr>
          <w:rFonts w:hint="eastAsia"/>
        </w:rPr>
      </w:pPr>
      <w:r>
        <w:rPr>
          <w:rFonts w:hint="eastAsia"/>
          <w:lang w:val="en-US" w:eastAsia="zh-CN"/>
        </w:rPr>
        <w:t>2</w:t>
      </w:r>
      <w:r>
        <w:rPr>
          <w:rFonts w:hint="eastAsia"/>
        </w:rPr>
        <w:t>.</w:t>
      </w:r>
      <w:r>
        <w:rPr>
          <w:rFonts w:hint="eastAsia"/>
          <w:lang w:val="en-US" w:eastAsia="zh-CN"/>
        </w:rPr>
        <w:t>1</w:t>
      </w:r>
      <w:r>
        <w:rPr>
          <w:rFonts w:hint="eastAsia"/>
        </w:rPr>
        <w:t>.2.</w:t>
      </w:r>
      <w:r>
        <w:rPr>
          <w:rFonts w:hint="eastAsia"/>
          <w:lang w:val="en-US" w:eastAsia="zh-CN"/>
        </w:rPr>
        <w:t>5</w:t>
      </w:r>
      <w:r>
        <w:rPr>
          <w:rFonts w:hint="eastAsia"/>
        </w:rPr>
        <w:t xml:space="preserve"> 桥涵工程</w:t>
      </w:r>
    </w:p>
    <w:p>
      <w:pPr>
        <w:ind w:firstLine="482"/>
        <w:rPr>
          <w:rFonts w:hint="eastAsia" w:cs="Times New Roman"/>
          <w:b/>
        </w:rPr>
      </w:pPr>
      <w:r>
        <w:rPr>
          <w:rFonts w:hint="eastAsia" w:cs="Times New Roman"/>
          <w:b/>
          <w:lang w:eastAsia="zh-CN"/>
        </w:rPr>
        <w:t>（</w:t>
      </w:r>
      <w:r>
        <w:rPr>
          <w:rFonts w:hint="eastAsia" w:cs="Times New Roman"/>
          <w:b/>
          <w:lang w:val="en-US" w:eastAsia="zh-CN"/>
        </w:rPr>
        <w:t>一</w:t>
      </w:r>
      <w:r>
        <w:rPr>
          <w:rFonts w:hint="eastAsia" w:cs="Times New Roman"/>
          <w:b/>
          <w:lang w:eastAsia="zh-CN"/>
        </w:rPr>
        <w:t>）</w:t>
      </w:r>
      <w:r>
        <w:rPr>
          <w:rFonts w:hint="eastAsia" w:cs="Times New Roman"/>
          <w:b/>
        </w:rPr>
        <w:t>设计原则</w:t>
      </w:r>
    </w:p>
    <w:p>
      <w:pPr>
        <w:ind w:firstLine="480"/>
        <w:rPr>
          <w:rFonts w:hint="eastAsia" w:cs="Times New Roman"/>
        </w:rPr>
      </w:pPr>
      <w:r>
        <w:rPr>
          <w:rFonts w:hint="eastAsia" w:cs="Times New Roman"/>
          <w:lang w:val="en-US" w:eastAsia="zh-CN"/>
        </w:rPr>
        <w:t>（1）</w:t>
      </w:r>
      <w:r>
        <w:rPr>
          <w:rFonts w:hint="eastAsia" w:cs="Times New Roman"/>
        </w:rPr>
        <w:t>技术指标设计荷载：公路-Ⅱ级；设计洪水频率：中桥1/50，小桥和涵洞1/25；地震动峰值加速度系数为0.15g，地震烈度Ⅶ度。</w:t>
      </w:r>
    </w:p>
    <w:p>
      <w:pPr>
        <w:ind w:firstLine="480"/>
        <w:rPr>
          <w:rFonts w:hint="eastAsia" w:cs="Times New Roman"/>
        </w:rPr>
      </w:pPr>
      <w:r>
        <w:rPr>
          <w:rFonts w:hint="eastAsia" w:cs="Times New Roman"/>
          <w:lang w:val="en-US" w:eastAsia="zh-CN"/>
        </w:rPr>
        <w:t>（2）</w:t>
      </w:r>
      <w:r>
        <w:rPr>
          <w:rFonts w:hint="eastAsia" w:cs="Times New Roman"/>
        </w:rPr>
        <w:t>桥涵设置和孔径的选择依据本路线排水泄洪和跨越的要求，结合沿线地形、地质条件等因素，按照经济适用，施工安全、因地制宜的原则确定。</w:t>
      </w:r>
    </w:p>
    <w:p>
      <w:pPr>
        <w:ind w:firstLine="480"/>
        <w:rPr>
          <w:rFonts w:hint="eastAsia" w:cs="Times New Roman"/>
        </w:rPr>
      </w:pPr>
      <w:r>
        <w:rPr>
          <w:rFonts w:hint="eastAsia" w:cs="Times New Roman"/>
          <w:lang w:eastAsia="zh-CN"/>
        </w:rPr>
        <w:t>（</w:t>
      </w:r>
      <w:r>
        <w:rPr>
          <w:rFonts w:hint="eastAsia" w:cs="Times New Roman"/>
          <w:lang w:val="en-US" w:eastAsia="zh-CN"/>
        </w:rPr>
        <w:t>3</w:t>
      </w:r>
      <w:r>
        <w:rPr>
          <w:rFonts w:hint="eastAsia" w:cs="Times New Roman"/>
          <w:lang w:eastAsia="zh-CN"/>
        </w:rPr>
        <w:t>）</w:t>
      </w:r>
      <w:r>
        <w:rPr>
          <w:rFonts w:hint="eastAsia" w:cs="Times New Roman"/>
        </w:rPr>
        <w:t>根据本区气候、水文、地形地质、地质病害特征，以及本区为山岭地区的特点，新建桥涵选择以钢筋混凝土结构为主，尽量采用预制安装的标准化结构，以便进行工厂化施工管理，提高工程质量、降低工程造价、加快工程进度。</w:t>
      </w:r>
    </w:p>
    <w:p>
      <w:pPr>
        <w:ind w:firstLine="480"/>
        <w:rPr>
          <w:rFonts w:hint="eastAsia" w:cs="Times New Roman"/>
        </w:rPr>
      </w:pPr>
      <w:r>
        <w:rPr>
          <w:rFonts w:hint="eastAsia" w:cs="Times New Roman"/>
          <w:lang w:eastAsia="zh-CN"/>
        </w:rPr>
        <w:t>（</w:t>
      </w:r>
      <w:r>
        <w:rPr>
          <w:rFonts w:hint="eastAsia" w:cs="Times New Roman"/>
          <w:lang w:val="en-US" w:eastAsia="zh-CN"/>
        </w:rPr>
        <w:t>4</w:t>
      </w:r>
      <w:r>
        <w:rPr>
          <w:rFonts w:hint="eastAsia" w:cs="Times New Roman"/>
          <w:lang w:eastAsia="zh-CN"/>
        </w:rPr>
        <w:t>）</w:t>
      </w:r>
      <w:r>
        <w:rPr>
          <w:rFonts w:hint="eastAsia" w:cs="Times New Roman"/>
        </w:rPr>
        <w:t>新建桥涵，应在水文资料调查的基础上，根据地形、地质条件合理选择桥涵位置、孔径与基础的形式和埋深。</w:t>
      </w:r>
    </w:p>
    <w:p>
      <w:pPr>
        <w:ind w:firstLine="480"/>
        <w:rPr>
          <w:rFonts w:hint="eastAsia" w:cs="Times New Roman"/>
        </w:rPr>
      </w:pPr>
      <w:r>
        <w:rPr>
          <w:rFonts w:hint="eastAsia" w:cs="Times New Roman"/>
          <w:lang w:eastAsia="zh-CN"/>
        </w:rPr>
        <w:t>（</w:t>
      </w:r>
      <w:r>
        <w:rPr>
          <w:rFonts w:hint="eastAsia" w:cs="Times New Roman"/>
          <w:lang w:val="en-US" w:eastAsia="zh-CN"/>
        </w:rPr>
        <w:t>5</w:t>
      </w:r>
      <w:r>
        <w:rPr>
          <w:rFonts w:hint="eastAsia" w:cs="Times New Roman"/>
          <w:lang w:eastAsia="zh-CN"/>
        </w:rPr>
        <w:t>）</w:t>
      </w:r>
      <w:r>
        <w:rPr>
          <w:rFonts w:hint="eastAsia" w:cs="Times New Roman"/>
        </w:rPr>
        <w:t>新建桥涵时，不压缩沟槽，尽量选用横向抗力较大、防撞能力较强、能单孔跨主槽的结构形式。</w:t>
      </w:r>
    </w:p>
    <w:p>
      <w:pPr>
        <w:ind w:firstLine="480"/>
        <w:rPr>
          <w:rFonts w:hint="eastAsia" w:cs="Times New Roman"/>
        </w:rPr>
      </w:pPr>
      <w:r>
        <w:rPr>
          <w:rFonts w:hint="eastAsia" w:cs="Times New Roman"/>
          <w:lang w:eastAsia="zh-CN"/>
        </w:rPr>
        <w:t>（</w:t>
      </w:r>
      <w:r>
        <w:rPr>
          <w:rFonts w:hint="eastAsia" w:cs="Times New Roman"/>
          <w:lang w:val="en-US" w:eastAsia="zh-CN"/>
        </w:rPr>
        <w:t>6</w:t>
      </w:r>
      <w:r>
        <w:rPr>
          <w:rFonts w:hint="eastAsia" w:cs="Times New Roman"/>
          <w:lang w:eastAsia="zh-CN"/>
        </w:rPr>
        <w:t>）</w:t>
      </w:r>
      <w:r>
        <w:rPr>
          <w:rFonts w:hint="eastAsia" w:cs="Times New Roman"/>
        </w:rPr>
        <w:t>尽量采用考虑利用当地建筑材料，以降低工程造价拉动地方经济增长。</w:t>
      </w:r>
    </w:p>
    <w:p>
      <w:pPr>
        <w:ind w:firstLine="480"/>
        <w:rPr>
          <w:rFonts w:hint="eastAsia" w:cs="Times New Roman"/>
        </w:rPr>
      </w:pPr>
      <w:r>
        <w:rPr>
          <w:rFonts w:hint="eastAsia" w:cs="Times New Roman"/>
          <w:lang w:eastAsia="zh-CN"/>
        </w:rPr>
        <w:t>（</w:t>
      </w:r>
      <w:r>
        <w:rPr>
          <w:rFonts w:hint="eastAsia" w:cs="Times New Roman"/>
          <w:lang w:val="en-US" w:eastAsia="zh-CN"/>
        </w:rPr>
        <w:t>7</w:t>
      </w:r>
      <w:r>
        <w:rPr>
          <w:rFonts w:hint="eastAsia" w:cs="Times New Roman"/>
          <w:lang w:eastAsia="zh-CN"/>
        </w:rPr>
        <w:t>）</w:t>
      </w:r>
      <w:r>
        <w:rPr>
          <w:rFonts w:hint="eastAsia" w:cs="Times New Roman"/>
        </w:rPr>
        <w:t>不降低原有河道、沟渠功能，尽量保持原有水系和排灌网络。</w:t>
      </w:r>
    </w:p>
    <w:p>
      <w:pPr>
        <w:ind w:firstLine="482"/>
        <w:rPr>
          <w:rFonts w:hint="eastAsia" w:cs="Times New Roman"/>
          <w:b/>
          <w:highlight w:val="none"/>
        </w:rPr>
      </w:pPr>
      <w:r>
        <w:rPr>
          <w:rFonts w:hint="eastAsia" w:cs="Times New Roman"/>
          <w:b/>
          <w:highlight w:val="none"/>
          <w:lang w:eastAsia="zh-CN"/>
        </w:rPr>
        <w:t>（</w:t>
      </w:r>
      <w:r>
        <w:rPr>
          <w:rFonts w:hint="eastAsia" w:cs="Times New Roman"/>
          <w:b/>
          <w:highlight w:val="none"/>
          <w:lang w:val="en-US" w:eastAsia="zh-CN"/>
        </w:rPr>
        <w:t>二</w:t>
      </w:r>
      <w:r>
        <w:rPr>
          <w:rFonts w:hint="eastAsia" w:cs="Times New Roman"/>
          <w:b/>
          <w:highlight w:val="none"/>
          <w:lang w:eastAsia="zh-CN"/>
        </w:rPr>
        <w:t>）</w:t>
      </w:r>
      <w:r>
        <w:rPr>
          <w:rFonts w:hint="eastAsia" w:cs="Times New Roman"/>
          <w:b/>
          <w:highlight w:val="none"/>
        </w:rPr>
        <w:t>沿线桥涵分布情况</w:t>
      </w:r>
    </w:p>
    <w:p>
      <w:pPr>
        <w:ind w:firstLine="480"/>
        <w:rPr>
          <w:rFonts w:hint="eastAsia" w:cs="Times New Roman"/>
        </w:rPr>
      </w:pPr>
      <w:r>
        <w:rPr>
          <w:rFonts w:hint="eastAsia" w:cs="Times New Roman"/>
        </w:rPr>
        <w:t>阿莲路与珠姆措</w:t>
      </w:r>
      <w:r>
        <w:rPr>
          <w:rFonts w:hint="eastAsia" w:cs="Times New Roman"/>
          <w:lang w:val="en-US" w:eastAsia="zh-CN"/>
        </w:rPr>
        <w:t>路</w:t>
      </w:r>
      <w:r>
        <w:rPr>
          <w:rFonts w:hint="eastAsia" w:cs="Times New Roman"/>
        </w:rPr>
        <w:t>项目共拟建圆管涵60道/540m、盖板涵30道/270m。涵洞方案是根据地形、地质特征、路线平纵面要求，遵循技术可行、经济合理、就地取材、运输方便、施工便捷的原则等因素综合拟定的。</w:t>
      </w:r>
    </w:p>
    <w:p>
      <w:pPr>
        <w:ind w:firstLine="480"/>
        <w:rPr>
          <w:rFonts w:hint="eastAsia" w:cs="Times New Roman"/>
        </w:rPr>
      </w:pPr>
      <w:r>
        <w:rPr>
          <w:rFonts w:hint="eastAsia" w:cs="Times New Roman"/>
          <w:lang w:val="en-US" w:eastAsia="zh-CN"/>
        </w:rPr>
        <w:t>（1）</w:t>
      </w:r>
      <w:r>
        <w:rPr>
          <w:rFonts w:hint="eastAsia" w:cs="Times New Roman"/>
        </w:rPr>
        <w:t>钢筋砼圆管涵</w:t>
      </w:r>
    </w:p>
    <w:p>
      <w:pPr>
        <w:ind w:firstLine="480"/>
        <w:rPr>
          <w:rFonts w:hint="eastAsia" w:cs="Times New Roman"/>
        </w:rPr>
      </w:pPr>
      <w:r>
        <w:rPr>
          <w:rFonts w:hint="eastAsia" w:cs="Times New Roman"/>
        </w:rPr>
        <w:t>圆管涵在有一定填土高度的路基上均可采用，即便是零填方路段，也可修建倒虹吸管，特别适用于低填方路段的农田灌溉区和平原地区。圆管涵仅设置端墙，不需要墩台，对基础的适应性强，受力性能较好，圬工数量少，造价较低，且用钢量小、工艺简单、施工速度快。圆管涵的管身部分圆管可重复利用，特别适用于水毁工程及在施工便道上使用。</w:t>
      </w:r>
    </w:p>
    <w:p>
      <w:pPr>
        <w:ind w:firstLine="480"/>
        <w:rPr>
          <w:rFonts w:hint="eastAsia" w:cs="Times New Roman"/>
        </w:rPr>
      </w:pPr>
      <w:r>
        <w:rPr>
          <w:rFonts w:hint="eastAsia" w:cs="Times New Roman"/>
          <w:lang w:val="en-US" w:eastAsia="zh-CN"/>
        </w:rPr>
        <w:t>（2）</w:t>
      </w:r>
      <w:r>
        <w:rPr>
          <w:rFonts w:hint="eastAsia" w:cs="Times New Roman"/>
        </w:rPr>
        <w:t>钢筋砼盖板涵</w:t>
      </w:r>
    </w:p>
    <w:p>
      <w:pPr>
        <w:ind w:firstLine="480"/>
        <w:rPr>
          <w:rFonts w:hint="eastAsia" w:cs="Times New Roman"/>
        </w:rPr>
      </w:pPr>
      <w:r>
        <w:rPr>
          <w:rFonts w:hint="eastAsia" w:cs="Times New Roman"/>
        </w:rPr>
        <w:t>钢筋混凝土盖板涵具有结构简单、地基承载力要求低、可集中预制、方便清淤的优点，对于水流较大的过水处较为适用。</w:t>
      </w:r>
    </w:p>
    <w:p>
      <w:pPr>
        <w:ind w:firstLine="482"/>
        <w:rPr>
          <w:rFonts w:hint="eastAsia" w:cs="Times New Roman"/>
          <w:b/>
          <w:highlight w:val="none"/>
        </w:rPr>
      </w:pPr>
      <w:r>
        <w:rPr>
          <w:rFonts w:hint="eastAsia" w:cs="Times New Roman"/>
          <w:b/>
          <w:highlight w:val="none"/>
          <w:lang w:eastAsia="zh-CN"/>
        </w:rPr>
        <w:t>（</w:t>
      </w:r>
      <w:r>
        <w:rPr>
          <w:rFonts w:hint="eastAsia" w:cs="Times New Roman"/>
          <w:b/>
          <w:highlight w:val="none"/>
          <w:lang w:val="en-US" w:eastAsia="zh-CN"/>
        </w:rPr>
        <w:t>三</w:t>
      </w:r>
      <w:r>
        <w:rPr>
          <w:rFonts w:hint="eastAsia" w:cs="Times New Roman"/>
          <w:b/>
          <w:highlight w:val="none"/>
          <w:lang w:eastAsia="zh-CN"/>
        </w:rPr>
        <w:t>）</w:t>
      </w:r>
      <w:r>
        <w:rPr>
          <w:rFonts w:hint="eastAsia" w:cs="Times New Roman"/>
          <w:b/>
          <w:highlight w:val="none"/>
        </w:rPr>
        <w:t>涵洞布设基本要求</w:t>
      </w:r>
    </w:p>
    <w:p>
      <w:pPr>
        <w:ind w:firstLine="480"/>
        <w:rPr>
          <w:rFonts w:hint="eastAsia" w:cs="Times New Roman"/>
        </w:rPr>
      </w:pPr>
      <w:r>
        <w:rPr>
          <w:rFonts w:hint="eastAsia" w:cs="Times New Roman"/>
        </w:rPr>
        <w:t>涵洞孔径、跨径主要依据设计流量、排灌、行人的通行需要而确定。涵洞的净宽、净高应满足《公路工程技术标准》（JTG B01-2014）中相关规定。</w:t>
      </w:r>
    </w:p>
    <w:p>
      <w:pPr>
        <w:ind w:firstLine="480"/>
        <w:rPr>
          <w:rFonts w:hint="eastAsia" w:cs="Times New Roman"/>
        </w:rPr>
      </w:pPr>
      <w:r>
        <w:rPr>
          <w:rFonts w:hint="eastAsia" w:cs="Times New Roman"/>
        </w:rPr>
        <w:t>涵位选择：在满足涵洞功能的情况下，涵位尽量避开软基和高填方。涵位尽量选择在两岸地质良好的地段。</w:t>
      </w:r>
    </w:p>
    <w:p>
      <w:pPr>
        <w:pStyle w:val="5"/>
        <w:numPr>
          <w:ilvl w:val="2"/>
          <w:numId w:val="0"/>
        </w:numPr>
        <w:ind w:leftChars="0"/>
        <w:rPr>
          <w:rFonts w:cs="Times New Roman"/>
        </w:rPr>
      </w:pPr>
      <w:r>
        <w:rPr>
          <w:rFonts w:hint="eastAsia" w:cs="Times New Roman"/>
          <w:lang w:val="en-US" w:eastAsia="zh-CN"/>
        </w:rPr>
        <w:t xml:space="preserve">2.1.3 </w:t>
      </w:r>
      <w:r>
        <w:rPr>
          <w:rFonts w:hint="eastAsia" w:cs="Times New Roman"/>
        </w:rPr>
        <w:t>建设效益</w:t>
      </w:r>
    </w:p>
    <w:p>
      <w:pPr>
        <w:ind w:firstLine="480"/>
        <w:rPr>
          <w:rFonts w:cs="Times New Roman"/>
        </w:rPr>
      </w:pPr>
      <w:r>
        <w:rPr>
          <w:rFonts w:hint="eastAsia" w:cs="Times New Roman"/>
        </w:rPr>
        <w:t>本项目已列入阿坝县交通发展规划，目前项目区内交通发展较为落后，公路是其对外运输的主要方式，公路的发展直接制约着项目区经济的发展、农牧民群众生活水平的提高。当地旅游资源的开发，经济社会的发展亟需道路的畅通作为保障，以建设美丽乡村为依托，促进乡村休闲旅游观光农业快速发展，为实现生态美和百姓富的和谐统一打下坚实的基础。本项目作为阿坝县的旅游道路，其建设正面临着难得的机遇，项目建设时机成熟。</w:t>
      </w:r>
    </w:p>
    <w:p>
      <w:pPr>
        <w:ind w:firstLine="480"/>
        <w:rPr>
          <w:rFonts w:cs="Times New Roman"/>
        </w:rPr>
      </w:pPr>
      <w:r>
        <w:rPr>
          <w:rFonts w:hint="eastAsia" w:cs="Times New Roman"/>
        </w:rPr>
        <w:t>由于地处偏远高寒山区，受现状落后交通条件制约，项目区目前旅游产业单调，经济发展迟缓，严重影响了项目区及周边经济社会的发展。随着西部大开发战略的深入推进、中央第六次西藏工作座谈会以及四川省“精准扶贫”工作的逐步深化、扩展，依据《阿坝州阿坝县“十四五”综合交通发展规划（2021-2025）》，本项目作为项目区内重要的交通通道，为充分发挥路网中的综合作用和效益，现阶段对项目区道路实施改造是合适的。</w:t>
      </w:r>
    </w:p>
    <w:p>
      <w:pPr>
        <w:pStyle w:val="5"/>
        <w:numPr>
          <w:ilvl w:val="2"/>
          <w:numId w:val="0"/>
        </w:numPr>
        <w:ind w:leftChars="0"/>
        <w:rPr>
          <w:rFonts w:cs="Times New Roman"/>
        </w:rPr>
      </w:pPr>
      <w:r>
        <w:rPr>
          <w:rFonts w:hint="eastAsia" w:cs="Times New Roman"/>
          <w:lang w:val="en-US" w:eastAsia="zh-CN"/>
        </w:rPr>
        <w:t xml:space="preserve">2.1.4 </w:t>
      </w:r>
      <w:r>
        <w:rPr>
          <w:rFonts w:cs="Times New Roman"/>
        </w:rPr>
        <w:t>工程占地</w:t>
      </w:r>
    </w:p>
    <w:p>
      <w:pPr>
        <w:ind w:firstLine="480"/>
        <w:rPr>
          <w:rFonts w:cs="Times New Roman"/>
        </w:rPr>
      </w:pPr>
      <w:r>
        <w:rPr>
          <w:rFonts w:hint="eastAsia" w:cs="Times New Roman"/>
        </w:rPr>
        <w:t>全线占地以耕地、草地为主，不涉及拆迁，占用土地</w:t>
      </w:r>
      <w:r>
        <w:rPr>
          <w:rFonts w:hint="eastAsia" w:cs="Times New Roman"/>
          <w:lang w:eastAsia="zh-CN"/>
        </w:rPr>
        <w:t>类型</w:t>
      </w:r>
      <w:r>
        <w:rPr>
          <w:rFonts w:hint="eastAsia" w:cs="Times New Roman"/>
        </w:rPr>
        <w:t>和</w:t>
      </w:r>
      <w:r>
        <w:rPr>
          <w:rFonts w:hint="eastAsia" w:cs="Times New Roman"/>
          <w:lang w:eastAsia="zh-CN"/>
        </w:rPr>
        <w:t>面积</w:t>
      </w:r>
      <w:r>
        <w:rPr>
          <w:rFonts w:hint="eastAsia" w:cs="Times New Roman"/>
        </w:rPr>
        <w:t>见下表</w:t>
      </w:r>
      <w:r>
        <w:rPr>
          <w:rFonts w:hint="eastAsia" w:cs="Times New Roman"/>
          <w:lang w:val="en-US" w:eastAsia="zh-CN"/>
        </w:rPr>
        <w:t>2</w:t>
      </w:r>
      <w:r>
        <w:rPr>
          <w:rFonts w:hint="eastAsia" w:cs="Times New Roman"/>
        </w:rPr>
        <w:t>-</w:t>
      </w:r>
      <w:r>
        <w:rPr>
          <w:rFonts w:hint="eastAsia" w:cs="Times New Roman"/>
          <w:lang w:val="en-US" w:eastAsia="zh-CN"/>
        </w:rPr>
        <w:t>5</w:t>
      </w:r>
      <w:r>
        <w:rPr>
          <w:rFonts w:hint="eastAsia" w:cs="Times New Roman"/>
        </w:rPr>
        <w:t>。</w:t>
      </w:r>
    </w:p>
    <w:p>
      <w:pPr>
        <w:spacing w:after="32" w:afterLines="10"/>
        <w:ind w:firstLine="0" w:firstLineChars="0"/>
        <w:jc w:val="center"/>
        <w:rPr>
          <w:rFonts w:hint="eastAsia" w:eastAsia="宋体" w:cs="Times New Roman"/>
          <w:szCs w:val="24"/>
          <w:lang w:eastAsia="zh-CN"/>
        </w:rPr>
      </w:pPr>
      <w:r>
        <w:rPr>
          <w:rFonts w:cs="Times New Roman"/>
          <w:b/>
        </w:rPr>
        <w:t>表</w:t>
      </w:r>
      <w:r>
        <w:rPr>
          <w:rFonts w:hint="eastAsia" w:cs="Times New Roman"/>
          <w:b/>
          <w:lang w:val="en-US" w:eastAsia="zh-CN"/>
        </w:rPr>
        <w:t>2</w:t>
      </w:r>
      <w:r>
        <w:rPr>
          <w:rFonts w:cs="Times New Roman"/>
          <w:b/>
        </w:rPr>
        <w:t>-</w:t>
      </w:r>
      <w:r>
        <w:rPr>
          <w:rFonts w:hint="eastAsia" w:cs="Times New Roman"/>
          <w:b/>
          <w:lang w:val="en-US" w:eastAsia="zh-CN"/>
        </w:rPr>
        <w:t xml:space="preserve">5 </w:t>
      </w:r>
      <w:r>
        <w:rPr>
          <w:rFonts w:hint="eastAsia" w:cs="Times New Roman"/>
          <w:b/>
        </w:rPr>
        <w:t>占用土地</w:t>
      </w:r>
      <w:r>
        <w:rPr>
          <w:rFonts w:hint="eastAsia" w:cs="Times New Roman"/>
          <w:b/>
          <w:lang w:eastAsia="zh-CN"/>
        </w:rPr>
        <w:t>类型</w:t>
      </w:r>
      <w:r>
        <w:rPr>
          <w:rFonts w:hint="eastAsia" w:cs="Times New Roman"/>
          <w:b/>
        </w:rPr>
        <w:t>和</w:t>
      </w:r>
      <w:r>
        <w:rPr>
          <w:rFonts w:hint="eastAsia" w:cs="Times New Roman"/>
          <w:b/>
          <w:lang w:eastAsia="zh-CN"/>
        </w:rPr>
        <w:t>面积</w:t>
      </w:r>
    </w:p>
    <w:tbl>
      <w:tblPr>
        <w:tblStyle w:val="4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03"/>
        <w:gridCol w:w="2700"/>
        <w:gridCol w:w="2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03" w:type="dxa"/>
            <w:gridSpan w:val="2"/>
          </w:tcPr>
          <w:p>
            <w:pPr>
              <w:spacing w:line="240" w:lineRule="auto"/>
              <w:ind w:firstLine="0" w:firstLineChars="0"/>
              <w:jc w:val="center"/>
              <w:rPr>
                <w:rFonts w:hint="eastAsia" w:cs="Times New Roman"/>
                <w:b/>
              </w:rPr>
            </w:pPr>
            <w:r>
              <w:rPr>
                <w:rFonts w:hint="eastAsia" w:cs="Times New Roman"/>
                <w:b/>
              </w:rPr>
              <w:t>占用土地</w:t>
            </w:r>
            <w:r>
              <w:rPr>
                <w:rFonts w:hint="eastAsia" w:cs="Times New Roman"/>
                <w:b/>
                <w:lang w:eastAsia="zh-CN"/>
              </w:rPr>
              <w:t>类型</w:t>
            </w:r>
          </w:p>
        </w:tc>
        <w:tc>
          <w:tcPr>
            <w:tcW w:w="2856" w:type="dxa"/>
          </w:tcPr>
          <w:p>
            <w:pPr>
              <w:spacing w:line="240" w:lineRule="auto"/>
              <w:ind w:firstLine="0" w:firstLineChars="0"/>
              <w:jc w:val="center"/>
              <w:rPr>
                <w:rFonts w:hint="eastAsia" w:ascii="Times New Roman" w:hAnsi="Times New Roman" w:cs="Times New Roman" w:eastAsiaTheme="minorEastAsia"/>
                <w:sz w:val="21"/>
                <w:szCs w:val="21"/>
                <w:lang w:eastAsia="zh-CN"/>
              </w:rPr>
            </w:pPr>
            <w:r>
              <w:rPr>
                <w:rFonts w:hint="eastAsia" w:cs="Times New Roman" w:eastAsiaTheme="minorEastAsia"/>
                <w:b/>
                <w:bCs/>
                <w:sz w:val="21"/>
                <w:szCs w:val="21"/>
                <w:lang w:eastAsia="zh-CN"/>
              </w:rPr>
              <w:t>面积（亩）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3" w:type="dxa"/>
            <w:vMerge w:val="restart"/>
            <w:vAlign w:val="center"/>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永久占地</w:t>
            </w:r>
          </w:p>
        </w:tc>
        <w:tc>
          <w:tcPr>
            <w:tcW w:w="2700" w:type="dxa"/>
          </w:tcPr>
          <w:p>
            <w:pPr>
              <w:spacing w:line="240" w:lineRule="auto"/>
              <w:ind w:firstLine="0" w:firstLineChars="0"/>
              <w:jc w:val="center"/>
              <w:rPr>
                <w:rFonts w:hint="eastAsia" w:ascii="Times New Roman" w:hAnsi="Times New Roman" w:cs="Times New Roman" w:eastAsiaTheme="minorEastAsia"/>
                <w:sz w:val="21"/>
                <w:szCs w:val="21"/>
                <w:lang w:eastAsia="zh-CN"/>
              </w:rPr>
            </w:pPr>
            <w:r>
              <w:rPr>
                <w:rFonts w:ascii="Times New Roman" w:hAnsi="Times New Roman" w:cs="Times New Roman" w:eastAsiaTheme="minorEastAsia"/>
                <w:sz w:val="21"/>
                <w:szCs w:val="21"/>
              </w:rPr>
              <w:t>草地</w:t>
            </w:r>
            <w:r>
              <w:rPr>
                <w:rFonts w:hint="eastAsia" w:cs="Times New Roman" w:eastAsiaTheme="minorEastAsia"/>
                <w:sz w:val="21"/>
                <w:szCs w:val="21"/>
                <w:lang w:eastAsia="zh-CN"/>
              </w:rPr>
              <w:t>（</w:t>
            </w:r>
            <w:r>
              <w:rPr>
                <w:rFonts w:hint="eastAsia" w:cs="Times New Roman" w:eastAsiaTheme="minorEastAsia"/>
                <w:sz w:val="21"/>
                <w:szCs w:val="21"/>
                <w:lang w:val="en-US" w:eastAsia="zh-CN"/>
              </w:rPr>
              <w:t>新增占地</w:t>
            </w:r>
            <w:r>
              <w:rPr>
                <w:rFonts w:hint="eastAsia" w:cs="Times New Roman" w:eastAsiaTheme="minorEastAsia"/>
                <w:sz w:val="21"/>
                <w:szCs w:val="21"/>
                <w:lang w:eastAsia="zh-CN"/>
              </w:rPr>
              <w:t>）</w:t>
            </w:r>
          </w:p>
        </w:tc>
        <w:tc>
          <w:tcPr>
            <w:tcW w:w="2856"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191.2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3" w:type="dxa"/>
            <w:vMerge w:val="continue"/>
            <w:vAlign w:val="center"/>
          </w:tcPr>
          <w:p>
            <w:pPr>
              <w:spacing w:line="240" w:lineRule="auto"/>
              <w:ind w:firstLine="0" w:firstLineChars="0"/>
              <w:jc w:val="center"/>
              <w:rPr>
                <w:rFonts w:ascii="Times New Roman" w:hAnsi="Times New Roman" w:cs="Times New Roman" w:eastAsiaTheme="minorEastAsia"/>
                <w:sz w:val="21"/>
                <w:szCs w:val="21"/>
              </w:rPr>
            </w:pPr>
          </w:p>
        </w:tc>
        <w:tc>
          <w:tcPr>
            <w:tcW w:w="2700" w:type="dxa"/>
          </w:tcPr>
          <w:p>
            <w:pPr>
              <w:spacing w:line="240" w:lineRule="auto"/>
              <w:ind w:firstLine="0" w:firstLineChars="0"/>
              <w:jc w:val="center"/>
              <w:rPr>
                <w:rFonts w:ascii="Times New Roman" w:hAnsi="Times New Roman" w:cs="Times New Roman" w:eastAsiaTheme="minorEastAsia"/>
                <w:sz w:val="21"/>
                <w:szCs w:val="21"/>
              </w:rPr>
            </w:pPr>
            <w:r>
              <w:rPr>
                <w:rFonts w:hint="eastAsia" w:cs="Times New Roman" w:eastAsiaTheme="minorEastAsia"/>
                <w:sz w:val="21"/>
                <w:szCs w:val="21"/>
                <w:lang w:val="en-US" w:eastAsia="zh-CN"/>
              </w:rPr>
              <w:t>交通运输用地</w:t>
            </w:r>
            <w:r>
              <w:rPr>
                <w:rFonts w:hint="eastAsia" w:cs="Times New Roman" w:eastAsiaTheme="minorEastAsia"/>
                <w:sz w:val="21"/>
                <w:szCs w:val="21"/>
                <w:lang w:eastAsia="zh-CN"/>
              </w:rPr>
              <w:t>（</w:t>
            </w:r>
            <w:r>
              <w:rPr>
                <w:rFonts w:ascii="Times New Roman" w:hAnsi="Times New Roman" w:cs="Times New Roman" w:eastAsiaTheme="minorEastAsia"/>
                <w:sz w:val="21"/>
                <w:szCs w:val="21"/>
              </w:rPr>
              <w:t>旧路占地</w:t>
            </w:r>
            <w:r>
              <w:rPr>
                <w:rFonts w:hint="eastAsia" w:cs="Times New Roman" w:eastAsiaTheme="minorEastAsia"/>
                <w:sz w:val="21"/>
                <w:szCs w:val="21"/>
                <w:lang w:eastAsia="zh-CN"/>
              </w:rPr>
              <w:t>）</w:t>
            </w:r>
          </w:p>
        </w:tc>
        <w:tc>
          <w:tcPr>
            <w:tcW w:w="2856"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862.4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3" w:type="dxa"/>
            <w:vMerge w:val="continue"/>
            <w:vAlign w:val="center"/>
          </w:tcPr>
          <w:p>
            <w:pPr>
              <w:spacing w:line="240" w:lineRule="auto"/>
              <w:ind w:firstLine="0" w:firstLineChars="0"/>
              <w:jc w:val="center"/>
              <w:rPr>
                <w:rFonts w:ascii="Times New Roman" w:hAnsi="Times New Roman" w:cs="Times New Roman" w:eastAsiaTheme="minorEastAsia"/>
                <w:sz w:val="21"/>
                <w:szCs w:val="21"/>
              </w:rPr>
            </w:pPr>
          </w:p>
        </w:tc>
        <w:tc>
          <w:tcPr>
            <w:tcW w:w="2700"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小计</w:t>
            </w:r>
          </w:p>
        </w:tc>
        <w:tc>
          <w:tcPr>
            <w:tcW w:w="2856"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1053.6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3" w:type="dxa"/>
            <w:vAlign w:val="center"/>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临时占地</w:t>
            </w:r>
          </w:p>
        </w:tc>
        <w:tc>
          <w:tcPr>
            <w:tcW w:w="2700" w:type="dxa"/>
          </w:tcPr>
          <w:p>
            <w:pPr>
              <w:spacing w:line="240" w:lineRule="auto"/>
              <w:ind w:firstLine="0" w:firstLineChars="0"/>
              <w:jc w:val="center"/>
              <w:rPr>
                <w:rFonts w:ascii="Times New Roman" w:hAnsi="Times New Roman" w:cs="Times New Roman" w:eastAsiaTheme="minorEastAsia"/>
                <w:sz w:val="21"/>
                <w:szCs w:val="21"/>
              </w:rPr>
            </w:pPr>
          </w:p>
        </w:tc>
        <w:tc>
          <w:tcPr>
            <w:tcW w:w="2856"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27.9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03" w:type="dxa"/>
            <w:gridSpan w:val="2"/>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合计</w:t>
            </w:r>
          </w:p>
        </w:tc>
        <w:tc>
          <w:tcPr>
            <w:tcW w:w="2856"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1081.5</w:t>
            </w:r>
          </w:p>
        </w:tc>
      </w:tr>
    </w:tbl>
    <w:p>
      <w:pPr>
        <w:pStyle w:val="3"/>
        <w:numPr>
          <w:ilvl w:val="1"/>
          <w:numId w:val="0"/>
        </w:numPr>
        <w:ind w:leftChars="0"/>
        <w:rPr>
          <w:rFonts w:cs="Times New Roman"/>
        </w:rPr>
      </w:pPr>
      <w:bookmarkStart w:id="11" w:name="_Toc14278"/>
      <w:r>
        <w:rPr>
          <w:rFonts w:hint="eastAsia" w:cs="Times New Roman"/>
          <w:lang w:val="en-US" w:eastAsia="zh-CN"/>
        </w:rPr>
        <w:t xml:space="preserve">2.2 </w:t>
      </w:r>
      <w:r>
        <w:rPr>
          <w:rFonts w:cs="Times New Roman"/>
        </w:rPr>
        <w:t>项目建设与湿地公园关系</w:t>
      </w:r>
      <w:bookmarkEnd w:id="11"/>
    </w:p>
    <w:p>
      <w:pPr>
        <w:pStyle w:val="5"/>
        <w:numPr>
          <w:ilvl w:val="2"/>
          <w:numId w:val="0"/>
        </w:numPr>
        <w:ind w:leftChars="0"/>
        <w:rPr>
          <w:rFonts w:cs="Times New Roman"/>
        </w:rPr>
      </w:pPr>
      <w:r>
        <w:rPr>
          <w:rFonts w:hint="eastAsia" w:cs="Times New Roman"/>
          <w:lang w:val="en-US" w:eastAsia="zh-CN"/>
        </w:rPr>
        <w:t xml:space="preserve">2.2.1 </w:t>
      </w:r>
      <w:r>
        <w:rPr>
          <w:rFonts w:cs="Times New Roman"/>
        </w:rPr>
        <w:t>区位关系</w:t>
      </w:r>
    </w:p>
    <w:p>
      <w:pPr>
        <w:snapToGrid w:val="0"/>
        <w:ind w:firstLine="480"/>
        <w:rPr>
          <w:rFonts w:cs="Times New Roman"/>
          <w:bCs/>
        </w:rPr>
      </w:pPr>
      <w:r>
        <w:rPr>
          <w:rFonts w:hint="eastAsia" w:cs="Times New Roman"/>
        </w:rPr>
        <w:t>根据项目路线和《四川阿坝</w:t>
      </w:r>
      <w:r>
        <w:rPr>
          <w:rFonts w:cs="Times New Roman"/>
        </w:rPr>
        <w:t>莲宝叶则省级湿地公园</w:t>
      </w:r>
      <w:r>
        <w:rPr>
          <w:rFonts w:hint="eastAsia" w:cs="Times New Roman"/>
        </w:rPr>
        <w:t>总体规划》等资料，工程涉及的</w:t>
      </w:r>
      <w:r>
        <w:rPr>
          <w:rFonts w:hint="eastAsia" w:cs="Times New Roman"/>
          <w:lang w:val="en-US" w:eastAsia="zh-CN"/>
        </w:rPr>
        <w:t>阿莲路和</w:t>
      </w:r>
      <w:r>
        <w:rPr>
          <w:rFonts w:hint="eastAsia" w:cs="Times New Roman"/>
        </w:rPr>
        <w:t>珠姆措路共有</w:t>
      </w:r>
      <w:r>
        <w:rPr>
          <w:rFonts w:hint="eastAsia" w:cs="Times New Roman"/>
          <w:bCs/>
          <w:lang w:val="en-US" w:eastAsia="zh-CN"/>
        </w:rPr>
        <w:t>4</w:t>
      </w:r>
      <w:r>
        <w:rPr>
          <w:rFonts w:hint="eastAsia" w:cs="Times New Roman"/>
          <w:bCs/>
        </w:rPr>
        <w:t>段道路的路基</w:t>
      </w:r>
      <w:r>
        <w:rPr>
          <w:rFonts w:hint="eastAsia" w:cs="Times New Roman"/>
        </w:rPr>
        <w:t>位于</w:t>
      </w:r>
      <w:r>
        <w:rPr>
          <w:rFonts w:cs="Times New Roman"/>
        </w:rPr>
        <w:t>湿地公园</w:t>
      </w:r>
      <w:r>
        <w:rPr>
          <w:rFonts w:hint="eastAsia" w:cs="Times New Roman"/>
        </w:rPr>
        <w:t>内（表</w:t>
      </w:r>
      <w:r>
        <w:rPr>
          <w:rFonts w:hint="eastAsia" w:cs="Times New Roman"/>
          <w:lang w:val="en-US" w:eastAsia="zh-CN"/>
        </w:rPr>
        <w:t>2</w:t>
      </w:r>
      <w:r>
        <w:rPr>
          <w:rFonts w:cs="Times New Roman"/>
        </w:rPr>
        <w:t>-</w:t>
      </w:r>
      <w:r>
        <w:rPr>
          <w:rFonts w:hint="eastAsia" w:cs="Times New Roman"/>
          <w:lang w:val="en-US" w:eastAsia="zh-CN"/>
        </w:rPr>
        <w:t>6</w:t>
      </w:r>
      <w:r>
        <w:rPr>
          <w:rFonts w:hint="eastAsia" w:cs="Times New Roman"/>
        </w:rPr>
        <w:t>）。</w:t>
      </w:r>
      <w:r>
        <w:rPr>
          <w:rFonts w:hint="eastAsia" w:cs="Times New Roman"/>
          <w:bCs/>
        </w:rPr>
        <w:t>穿越综合利用区长度</w:t>
      </w:r>
      <w:r>
        <w:rPr>
          <w:rFonts w:hint="eastAsia" w:cs="Times New Roman"/>
          <w:bCs/>
          <w:lang w:val="en-US" w:eastAsia="zh-CN"/>
        </w:rPr>
        <w:t>9471</w:t>
      </w:r>
      <w:r>
        <w:rPr>
          <w:rFonts w:hint="eastAsia" w:cs="Times New Roman"/>
          <w:bCs/>
        </w:rPr>
        <w:t>m，穿越科普宣教区长度</w:t>
      </w:r>
      <w:r>
        <w:rPr>
          <w:rFonts w:hint="eastAsia" w:cs="Times New Roman"/>
          <w:bCs/>
          <w:lang w:val="en-US" w:eastAsia="zh-CN"/>
        </w:rPr>
        <w:t xml:space="preserve">975 </w:t>
      </w:r>
      <w:r>
        <w:rPr>
          <w:rFonts w:cs="Times New Roman"/>
          <w:bCs/>
        </w:rPr>
        <w:t>m</w:t>
      </w:r>
      <w:r>
        <w:rPr>
          <w:rFonts w:hint="eastAsia" w:cs="Times New Roman"/>
          <w:bCs/>
        </w:rPr>
        <w:t>，穿越管理服务区长度</w:t>
      </w:r>
      <w:r>
        <w:rPr>
          <w:rFonts w:hint="eastAsia" w:cs="Times New Roman"/>
          <w:bCs/>
          <w:lang w:val="en-US" w:eastAsia="zh-CN"/>
        </w:rPr>
        <w:t xml:space="preserve">454 </w:t>
      </w:r>
      <w:r>
        <w:rPr>
          <w:rFonts w:cs="Times New Roman"/>
          <w:bCs/>
        </w:rPr>
        <w:t>m</w:t>
      </w:r>
      <w:r>
        <w:rPr>
          <w:rFonts w:hint="eastAsia" w:cs="Times New Roman"/>
          <w:bCs/>
        </w:rPr>
        <w:t>。</w:t>
      </w:r>
    </w:p>
    <w:p>
      <w:pPr>
        <w:spacing w:after="32" w:afterLines="10"/>
        <w:ind w:firstLine="0" w:firstLineChars="0"/>
        <w:jc w:val="center"/>
        <w:rPr>
          <w:rFonts w:cs="Times New Roman"/>
          <w:b/>
        </w:rPr>
      </w:pPr>
      <w:r>
        <w:rPr>
          <w:rFonts w:cs="Times New Roman"/>
          <w:b/>
        </w:rPr>
        <w:t>表</w:t>
      </w:r>
      <w:r>
        <w:rPr>
          <w:rFonts w:hint="eastAsia" w:cs="Times New Roman"/>
          <w:b/>
          <w:lang w:val="en-US" w:eastAsia="zh-CN"/>
        </w:rPr>
        <w:t>2</w:t>
      </w:r>
      <w:r>
        <w:rPr>
          <w:rFonts w:hint="eastAsia" w:cs="Times New Roman"/>
          <w:b/>
        </w:rPr>
        <w:t>-</w:t>
      </w:r>
      <w:r>
        <w:rPr>
          <w:rFonts w:hint="eastAsia" w:cs="Times New Roman"/>
          <w:b/>
          <w:lang w:val="en-US" w:eastAsia="zh-CN"/>
        </w:rPr>
        <w:t xml:space="preserve">6 </w:t>
      </w:r>
      <w:r>
        <w:rPr>
          <w:rFonts w:cs="Times New Roman"/>
          <w:b/>
        </w:rPr>
        <w:t>工程</w:t>
      </w:r>
      <w:r>
        <w:rPr>
          <w:rFonts w:hint="eastAsia" w:cs="Times New Roman"/>
          <w:b/>
        </w:rPr>
        <w:t>与</w:t>
      </w:r>
      <w:r>
        <w:rPr>
          <w:rFonts w:cs="Times New Roman"/>
          <w:b/>
        </w:rPr>
        <w:t>湿地公园</w:t>
      </w:r>
      <w:r>
        <w:rPr>
          <w:rFonts w:hint="eastAsia" w:cs="Times New Roman"/>
          <w:b/>
        </w:rPr>
        <w:t>区位关系表</w:t>
      </w:r>
    </w:p>
    <w:tbl>
      <w:tblPr>
        <w:tblStyle w:val="42"/>
        <w:tblW w:w="495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67"/>
        <w:gridCol w:w="3934"/>
        <w:gridCol w:w="20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1" w:hRule="atLeast"/>
          <w:jc w:val="center"/>
        </w:trPr>
        <w:tc>
          <w:tcPr>
            <w:tcW w:w="1460" w:type="pct"/>
            <w:vAlign w:val="center"/>
          </w:tcPr>
          <w:p>
            <w:pPr>
              <w:widowControl/>
              <w:spacing w:line="240" w:lineRule="auto"/>
              <w:ind w:firstLine="0" w:firstLineChars="0"/>
              <w:jc w:val="center"/>
              <w:rPr>
                <w:rFonts w:cs="Times New Roman" w:eastAsiaTheme="minorEastAsia"/>
                <w:b/>
                <w:color w:val="auto"/>
                <w:kern w:val="0"/>
                <w:sz w:val="21"/>
                <w:szCs w:val="21"/>
              </w:rPr>
            </w:pPr>
            <w:r>
              <w:rPr>
                <w:rFonts w:cs="Times New Roman" w:hAnsiTheme="minorEastAsia" w:eastAsiaTheme="minorEastAsia"/>
                <w:b/>
                <w:color w:val="auto"/>
                <w:kern w:val="0"/>
                <w:sz w:val="21"/>
                <w:szCs w:val="21"/>
              </w:rPr>
              <w:t>湿地公园功能区划范围</w:t>
            </w:r>
          </w:p>
        </w:tc>
        <w:tc>
          <w:tcPr>
            <w:tcW w:w="2327" w:type="pct"/>
            <w:vAlign w:val="center"/>
          </w:tcPr>
          <w:p>
            <w:pPr>
              <w:widowControl/>
              <w:spacing w:line="240" w:lineRule="auto"/>
              <w:ind w:firstLine="0" w:firstLineChars="0"/>
              <w:jc w:val="center"/>
              <w:rPr>
                <w:rFonts w:cs="Times New Roman" w:hAnsiTheme="minorEastAsia" w:eastAsiaTheme="minorEastAsia"/>
                <w:b/>
                <w:color w:val="auto"/>
                <w:kern w:val="0"/>
                <w:sz w:val="21"/>
                <w:szCs w:val="21"/>
              </w:rPr>
            </w:pPr>
            <w:r>
              <w:rPr>
                <w:rFonts w:hint="eastAsia" w:cs="Times New Roman" w:hAnsiTheme="minorEastAsia" w:eastAsiaTheme="minorEastAsia"/>
                <w:b/>
                <w:color w:val="auto"/>
                <w:kern w:val="0"/>
                <w:sz w:val="21"/>
                <w:szCs w:val="21"/>
              </w:rPr>
              <w:t>进入湿地公园道路桩号</w:t>
            </w:r>
          </w:p>
        </w:tc>
        <w:tc>
          <w:tcPr>
            <w:tcW w:w="1211" w:type="pct"/>
            <w:vAlign w:val="center"/>
          </w:tcPr>
          <w:p>
            <w:pPr>
              <w:widowControl/>
              <w:spacing w:line="240" w:lineRule="auto"/>
              <w:ind w:firstLine="0" w:firstLineChars="0"/>
              <w:jc w:val="center"/>
              <w:rPr>
                <w:rFonts w:hint="eastAsia" w:cs="Times New Roman" w:hAnsiTheme="minorEastAsia" w:eastAsiaTheme="minorEastAsia"/>
                <w:b/>
                <w:color w:val="auto"/>
                <w:kern w:val="0"/>
                <w:sz w:val="21"/>
                <w:szCs w:val="21"/>
              </w:rPr>
            </w:pPr>
            <w:r>
              <w:rPr>
                <w:rFonts w:hint="eastAsia" w:cs="Times New Roman" w:hAnsiTheme="minorEastAsia" w:eastAsiaTheme="minorEastAsia"/>
                <w:b/>
                <w:color w:val="auto"/>
                <w:kern w:val="0"/>
                <w:sz w:val="21"/>
                <w:szCs w:val="21"/>
              </w:rPr>
              <w:t>路基穿越长度</w:t>
            </w:r>
          </w:p>
          <w:p>
            <w:pPr>
              <w:widowControl/>
              <w:spacing w:line="240" w:lineRule="auto"/>
              <w:ind w:firstLine="0" w:firstLineChars="0"/>
              <w:jc w:val="center"/>
              <w:rPr>
                <w:rFonts w:cs="Times New Roman" w:hAnsiTheme="minorEastAsia" w:eastAsiaTheme="minorEastAsia"/>
                <w:b/>
                <w:color w:val="auto"/>
                <w:kern w:val="0"/>
                <w:sz w:val="21"/>
                <w:szCs w:val="21"/>
              </w:rPr>
            </w:pPr>
            <w:r>
              <w:rPr>
                <w:rFonts w:hint="eastAsia" w:cs="Times New Roman" w:hAnsiTheme="minorEastAsia" w:eastAsiaTheme="minorEastAsia"/>
                <w:b/>
                <w:color w:val="auto"/>
                <w:kern w:val="0"/>
                <w:sz w:val="21"/>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60" w:type="pct"/>
            <w:vAlign w:val="center"/>
          </w:tcPr>
          <w:p>
            <w:pPr>
              <w:widowControl/>
              <w:spacing w:line="240" w:lineRule="auto"/>
              <w:ind w:firstLine="0" w:firstLineChars="0"/>
              <w:jc w:val="center"/>
              <w:rPr>
                <w:rFonts w:cs="Times New Roman" w:hAnsiTheme="minorEastAsia" w:eastAsiaTheme="minorEastAsia"/>
                <w:bCs/>
                <w:color w:val="auto"/>
                <w:kern w:val="0"/>
                <w:sz w:val="21"/>
                <w:szCs w:val="21"/>
              </w:rPr>
            </w:pPr>
            <w:r>
              <w:rPr>
                <w:rFonts w:hint="eastAsia" w:cs="Times New Roman" w:hAnsiTheme="minorEastAsia" w:eastAsiaTheme="minorEastAsia"/>
                <w:bCs/>
                <w:color w:val="auto"/>
                <w:kern w:val="0"/>
                <w:sz w:val="21"/>
                <w:szCs w:val="21"/>
              </w:rPr>
              <w:t>综合利用区</w:t>
            </w:r>
          </w:p>
        </w:tc>
        <w:tc>
          <w:tcPr>
            <w:tcW w:w="2327" w:type="pct"/>
            <w:vAlign w:val="center"/>
          </w:tcPr>
          <w:p>
            <w:pPr>
              <w:widowControl/>
              <w:spacing w:line="240" w:lineRule="auto"/>
              <w:ind w:firstLine="0" w:firstLineChars="0"/>
              <w:jc w:val="center"/>
              <w:rPr>
                <w:rFonts w:hint="default" w:cs="Times New Roman" w:eastAsiaTheme="minorEastAsia"/>
                <w:bCs/>
                <w:color w:val="auto"/>
                <w:kern w:val="0"/>
                <w:sz w:val="21"/>
                <w:szCs w:val="21"/>
                <w:lang w:val="en-US" w:eastAsia="zh-CN"/>
              </w:rPr>
            </w:pPr>
            <w:r>
              <w:rPr>
                <w:rFonts w:hint="eastAsia" w:cs="Times New Roman" w:eastAsiaTheme="minorEastAsia"/>
                <w:bCs/>
                <w:color w:val="auto"/>
                <w:kern w:val="0"/>
                <w:sz w:val="21"/>
                <w:szCs w:val="21"/>
                <w:lang w:val="en-US" w:eastAsia="zh-CN"/>
              </w:rPr>
              <w:t>K00+000-K9+099（珠姆措段），K33+227-K33.599（阿莲路段）</w:t>
            </w:r>
          </w:p>
        </w:tc>
        <w:tc>
          <w:tcPr>
            <w:tcW w:w="1211" w:type="pct"/>
            <w:vAlign w:val="center"/>
          </w:tcPr>
          <w:p>
            <w:pPr>
              <w:widowControl/>
              <w:spacing w:line="240" w:lineRule="auto"/>
              <w:ind w:firstLine="0" w:firstLineChars="0"/>
              <w:jc w:val="center"/>
              <w:rPr>
                <w:rFonts w:hint="default" w:cs="Times New Roman" w:eastAsiaTheme="minorEastAsia"/>
                <w:bCs/>
                <w:color w:val="auto"/>
                <w:kern w:val="0"/>
                <w:sz w:val="21"/>
                <w:szCs w:val="21"/>
                <w:lang w:val="en-US" w:eastAsia="zh-CN"/>
              </w:rPr>
            </w:pPr>
            <w:r>
              <w:rPr>
                <w:rFonts w:hint="eastAsia" w:cs="Times New Roman" w:eastAsiaTheme="minorEastAsia"/>
                <w:bCs/>
                <w:color w:val="auto"/>
                <w:kern w:val="0"/>
                <w:sz w:val="21"/>
                <w:szCs w:val="21"/>
                <w:lang w:val="en-US" w:eastAsia="zh-CN"/>
              </w:rPr>
              <w:t>9471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60" w:type="pct"/>
            <w:vAlign w:val="center"/>
          </w:tcPr>
          <w:p>
            <w:pPr>
              <w:widowControl/>
              <w:spacing w:line="240" w:lineRule="auto"/>
              <w:ind w:firstLine="0" w:firstLineChars="0"/>
              <w:jc w:val="center"/>
              <w:rPr>
                <w:rFonts w:cs="Times New Roman" w:hAnsiTheme="minorEastAsia" w:eastAsiaTheme="minorEastAsia"/>
                <w:bCs/>
                <w:color w:val="auto"/>
                <w:kern w:val="0"/>
                <w:sz w:val="21"/>
                <w:szCs w:val="21"/>
              </w:rPr>
            </w:pPr>
            <w:r>
              <w:rPr>
                <w:rFonts w:hint="eastAsia" w:cs="Times New Roman" w:hAnsiTheme="minorEastAsia" w:eastAsiaTheme="minorEastAsia"/>
                <w:bCs/>
                <w:color w:val="auto"/>
                <w:kern w:val="0"/>
                <w:sz w:val="21"/>
                <w:szCs w:val="21"/>
                <w:lang w:val="en-US" w:eastAsia="zh-CN"/>
              </w:rPr>
              <w:t>湿地</w:t>
            </w:r>
            <w:r>
              <w:rPr>
                <w:rFonts w:hint="eastAsia" w:cs="Times New Roman" w:hAnsiTheme="minorEastAsia" w:eastAsiaTheme="minorEastAsia"/>
                <w:bCs/>
                <w:color w:val="auto"/>
                <w:kern w:val="0"/>
                <w:sz w:val="21"/>
                <w:szCs w:val="21"/>
              </w:rPr>
              <w:t>宣教区</w:t>
            </w:r>
          </w:p>
        </w:tc>
        <w:tc>
          <w:tcPr>
            <w:tcW w:w="2327" w:type="pct"/>
            <w:vAlign w:val="center"/>
          </w:tcPr>
          <w:p>
            <w:pPr>
              <w:widowControl/>
              <w:spacing w:line="240" w:lineRule="auto"/>
              <w:ind w:firstLine="0" w:firstLineChars="0"/>
              <w:jc w:val="center"/>
              <w:rPr>
                <w:rFonts w:hint="default" w:cs="Times New Roman" w:eastAsiaTheme="minorEastAsia"/>
                <w:bCs/>
                <w:color w:val="auto"/>
                <w:kern w:val="0"/>
                <w:sz w:val="21"/>
                <w:szCs w:val="21"/>
                <w:lang w:val="en-US" w:eastAsia="zh-CN"/>
              </w:rPr>
            </w:pPr>
            <w:r>
              <w:rPr>
                <w:rFonts w:hint="eastAsia" w:cs="Times New Roman" w:eastAsiaTheme="minorEastAsia"/>
                <w:bCs/>
                <w:color w:val="auto"/>
                <w:kern w:val="0"/>
                <w:sz w:val="21"/>
                <w:szCs w:val="21"/>
                <w:lang w:val="en-US" w:eastAsia="zh-CN"/>
              </w:rPr>
              <w:t>K9+099-K10+074（珠姆措段）</w:t>
            </w:r>
          </w:p>
        </w:tc>
        <w:tc>
          <w:tcPr>
            <w:tcW w:w="1211" w:type="pct"/>
            <w:vAlign w:val="center"/>
          </w:tcPr>
          <w:p>
            <w:pPr>
              <w:widowControl/>
              <w:spacing w:line="240" w:lineRule="auto"/>
              <w:ind w:firstLine="0" w:firstLineChars="0"/>
              <w:jc w:val="center"/>
              <w:rPr>
                <w:rFonts w:hint="default" w:cs="Times New Roman" w:eastAsiaTheme="minorEastAsia"/>
                <w:bCs/>
                <w:color w:val="auto"/>
                <w:kern w:val="0"/>
                <w:sz w:val="21"/>
                <w:szCs w:val="21"/>
                <w:lang w:val="en-US" w:eastAsia="zh-CN"/>
              </w:rPr>
            </w:pPr>
            <w:r>
              <w:rPr>
                <w:rFonts w:hint="eastAsia" w:cs="Times New Roman" w:eastAsiaTheme="minorEastAsia"/>
                <w:bCs/>
                <w:color w:val="auto"/>
                <w:kern w:val="0"/>
                <w:sz w:val="21"/>
                <w:szCs w:val="21"/>
                <w:lang w:val="en-US" w:eastAsia="zh-CN"/>
              </w:rPr>
              <w:t>975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60" w:type="pct"/>
            <w:vAlign w:val="center"/>
          </w:tcPr>
          <w:p>
            <w:pPr>
              <w:widowControl/>
              <w:spacing w:line="240" w:lineRule="auto"/>
              <w:ind w:firstLine="0" w:firstLineChars="0"/>
              <w:jc w:val="center"/>
              <w:rPr>
                <w:rFonts w:cs="Times New Roman" w:hAnsiTheme="minorEastAsia" w:eastAsiaTheme="minorEastAsia"/>
                <w:bCs/>
                <w:color w:val="auto"/>
                <w:kern w:val="0"/>
                <w:sz w:val="21"/>
                <w:szCs w:val="21"/>
              </w:rPr>
            </w:pPr>
            <w:r>
              <w:rPr>
                <w:rFonts w:hint="eastAsia" w:cs="Times New Roman" w:hAnsiTheme="minorEastAsia" w:eastAsiaTheme="minorEastAsia"/>
                <w:bCs/>
                <w:color w:val="auto"/>
                <w:kern w:val="0"/>
                <w:sz w:val="21"/>
                <w:szCs w:val="21"/>
              </w:rPr>
              <w:t>管理服务区</w:t>
            </w:r>
          </w:p>
        </w:tc>
        <w:tc>
          <w:tcPr>
            <w:tcW w:w="2327" w:type="pct"/>
            <w:vAlign w:val="center"/>
          </w:tcPr>
          <w:p>
            <w:pPr>
              <w:widowControl/>
              <w:spacing w:line="240" w:lineRule="auto"/>
              <w:ind w:firstLine="0" w:firstLineChars="0"/>
              <w:jc w:val="center"/>
              <w:rPr>
                <w:rFonts w:hint="default" w:cs="Times New Roman" w:eastAsiaTheme="minorEastAsia"/>
                <w:bCs/>
                <w:color w:val="auto"/>
                <w:kern w:val="0"/>
                <w:sz w:val="21"/>
                <w:szCs w:val="21"/>
                <w:lang w:val="en-US"/>
              </w:rPr>
            </w:pPr>
            <w:r>
              <w:rPr>
                <w:rFonts w:hint="eastAsia" w:cs="Times New Roman" w:eastAsiaTheme="minorEastAsia"/>
                <w:bCs/>
                <w:color w:val="auto"/>
                <w:kern w:val="0"/>
                <w:sz w:val="21"/>
                <w:szCs w:val="21"/>
                <w:lang w:val="en-US" w:eastAsia="zh-CN"/>
              </w:rPr>
              <w:t>K32+773-K33+227（阿莲路段）</w:t>
            </w:r>
          </w:p>
        </w:tc>
        <w:tc>
          <w:tcPr>
            <w:tcW w:w="1211" w:type="pct"/>
            <w:vAlign w:val="center"/>
          </w:tcPr>
          <w:p>
            <w:pPr>
              <w:widowControl/>
              <w:spacing w:line="240" w:lineRule="auto"/>
              <w:ind w:firstLine="0" w:firstLineChars="0"/>
              <w:jc w:val="center"/>
              <w:rPr>
                <w:rFonts w:hint="default" w:cs="Times New Roman" w:eastAsiaTheme="minorEastAsia"/>
                <w:bCs/>
                <w:color w:val="auto"/>
                <w:kern w:val="0"/>
                <w:sz w:val="21"/>
                <w:szCs w:val="21"/>
                <w:lang w:val="en-US" w:eastAsia="zh-CN"/>
              </w:rPr>
            </w:pPr>
            <w:r>
              <w:rPr>
                <w:rFonts w:hint="eastAsia" w:cs="Times New Roman" w:eastAsiaTheme="minorEastAsia"/>
                <w:bCs/>
                <w:color w:val="auto"/>
                <w:kern w:val="0"/>
                <w:sz w:val="21"/>
                <w:szCs w:val="21"/>
                <w:lang w:val="en-US" w:eastAsia="zh-CN"/>
              </w:rPr>
              <w:t>454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3788" w:type="pct"/>
            <w:gridSpan w:val="2"/>
            <w:vAlign w:val="center"/>
          </w:tcPr>
          <w:p>
            <w:pPr>
              <w:widowControl/>
              <w:spacing w:line="240" w:lineRule="auto"/>
              <w:ind w:firstLine="0" w:firstLineChars="0"/>
              <w:jc w:val="center"/>
              <w:rPr>
                <w:rFonts w:cs="Times New Roman" w:eastAsiaTheme="minorEastAsia"/>
                <w:b/>
                <w:bCs/>
                <w:color w:val="auto"/>
                <w:kern w:val="0"/>
                <w:sz w:val="21"/>
                <w:szCs w:val="21"/>
              </w:rPr>
            </w:pPr>
            <w:r>
              <w:rPr>
                <w:rFonts w:hint="eastAsia" w:cs="Times New Roman"/>
                <w:b/>
                <w:color w:val="auto"/>
                <w:sz w:val="21"/>
                <w:szCs w:val="21"/>
              </w:rPr>
              <w:t>合计</w:t>
            </w:r>
          </w:p>
        </w:tc>
        <w:tc>
          <w:tcPr>
            <w:tcW w:w="1211" w:type="pct"/>
            <w:vAlign w:val="center"/>
          </w:tcPr>
          <w:p>
            <w:pPr>
              <w:widowControl/>
              <w:spacing w:line="240" w:lineRule="auto"/>
              <w:ind w:firstLine="0" w:firstLineChars="0"/>
              <w:jc w:val="center"/>
              <w:rPr>
                <w:rFonts w:hint="default" w:cs="Times New Roman" w:eastAsiaTheme="minorEastAsia"/>
                <w:b/>
                <w:bCs/>
                <w:color w:val="auto"/>
                <w:kern w:val="0"/>
                <w:sz w:val="21"/>
                <w:szCs w:val="21"/>
                <w:lang w:val="en-US" w:eastAsia="zh-CN"/>
              </w:rPr>
            </w:pPr>
            <w:r>
              <w:rPr>
                <w:rFonts w:hint="eastAsia" w:cs="Times New Roman" w:eastAsiaTheme="minorEastAsia"/>
                <w:b/>
                <w:bCs/>
                <w:color w:val="auto"/>
                <w:kern w:val="0"/>
                <w:sz w:val="21"/>
                <w:szCs w:val="21"/>
                <w:lang w:val="en-US" w:eastAsia="zh-CN"/>
              </w:rPr>
              <w:t>10900</w:t>
            </w:r>
          </w:p>
        </w:tc>
      </w:tr>
    </w:tbl>
    <w:p>
      <w:pPr>
        <w:snapToGrid w:val="0"/>
        <w:ind w:firstLine="0" w:firstLineChars="0"/>
        <w:jc w:val="center"/>
        <w:rPr>
          <w:rFonts w:cs="Times New Roman"/>
        </w:rPr>
      </w:pPr>
    </w:p>
    <w:p>
      <w:pPr>
        <w:pStyle w:val="5"/>
        <w:numPr>
          <w:ilvl w:val="2"/>
          <w:numId w:val="0"/>
        </w:numPr>
        <w:ind w:leftChars="0"/>
        <w:rPr>
          <w:rFonts w:cs="Times New Roman"/>
        </w:rPr>
      </w:pPr>
      <w:r>
        <w:rPr>
          <w:rFonts w:hint="eastAsia" w:cs="Times New Roman"/>
          <w:lang w:val="en-US" w:eastAsia="zh-CN"/>
        </w:rPr>
        <w:t xml:space="preserve">2.2.2 </w:t>
      </w:r>
      <w:r>
        <w:rPr>
          <w:rFonts w:cs="Times New Roman"/>
        </w:rPr>
        <w:t>湿地公园内建设项目情况</w:t>
      </w:r>
    </w:p>
    <w:p>
      <w:pPr>
        <w:ind w:firstLine="480"/>
        <w:rPr>
          <w:rFonts w:hint="eastAsia" w:cs="Times New Roman"/>
          <w:szCs w:val="24"/>
        </w:rPr>
      </w:pPr>
      <w:r>
        <w:rPr>
          <w:rFonts w:hint="eastAsia" w:cs="Times New Roman"/>
          <w:szCs w:val="24"/>
        </w:rPr>
        <w:t>阿莲路全线长33.599km</w:t>
      </w:r>
      <w:r>
        <w:rPr>
          <w:rFonts w:hint="eastAsia" w:cs="Times New Roman"/>
          <w:szCs w:val="24"/>
          <w:lang w:eastAsia="zh-CN"/>
        </w:rPr>
        <w:t>，</w:t>
      </w:r>
      <w:r>
        <w:rPr>
          <w:rFonts w:hint="eastAsia" w:cs="Times New Roman"/>
          <w:szCs w:val="24"/>
          <w:lang w:val="en-US" w:eastAsia="zh-CN"/>
        </w:rPr>
        <w:t>其中桩号K32+773-K33.599共计827m位于莲宝叶则湿地公园内</w:t>
      </w:r>
      <w:r>
        <w:rPr>
          <w:rFonts w:hint="eastAsia" w:cs="Times New Roman" w:eastAsiaTheme="minorEastAsia"/>
          <w:bCs/>
          <w:color w:val="auto"/>
          <w:kern w:val="0"/>
          <w:sz w:val="21"/>
          <w:szCs w:val="21"/>
          <w:lang w:val="en-US" w:eastAsia="zh-CN"/>
        </w:rPr>
        <w:t>。</w:t>
      </w:r>
      <w:r>
        <w:rPr>
          <w:rFonts w:hint="eastAsia" w:cs="Times New Roman"/>
          <w:szCs w:val="24"/>
          <w:lang w:val="en-US" w:eastAsia="zh-CN"/>
        </w:rPr>
        <w:t>本项目</w:t>
      </w:r>
      <w:r>
        <w:rPr>
          <w:rFonts w:hint="eastAsia" w:cs="Times New Roman"/>
          <w:szCs w:val="24"/>
        </w:rPr>
        <w:t>原有路基宽度为6.5m，根据现场调查，阿莲路K24+664.133～K33+598.620段地质地形复杂，若完全按照三级公路对应的30km/h设计速度进行改建，需拆除新建桥梁，调整线形，投资增加较大，因此建议在局部困难路段降低一档，采用20km/h设计速度标准进行平纵设计，对应路基宽度与老路保持一致。K24+664.133</w:t>
      </w:r>
      <w:r>
        <w:rPr>
          <w:rFonts w:hint="eastAsia" w:cs="Times New Roman"/>
          <w:szCs w:val="24"/>
          <w:lang w:val="en-US" w:eastAsia="zh-CN"/>
        </w:rPr>
        <w:t>-</w:t>
      </w:r>
      <w:r>
        <w:rPr>
          <w:rFonts w:hint="eastAsia" w:cs="Times New Roman"/>
          <w:szCs w:val="24"/>
        </w:rPr>
        <w:t>K33+598.620段仅进行路面改造，路基宽度与既有道路保持一致采用6.5m</w:t>
      </w:r>
      <w:r>
        <w:rPr>
          <w:rFonts w:hint="eastAsia" w:cs="Times New Roman"/>
          <w:szCs w:val="24"/>
          <w:lang w:eastAsia="zh-CN"/>
        </w:rPr>
        <w:t>；</w:t>
      </w:r>
      <w:r>
        <w:rPr>
          <w:rFonts w:hint="eastAsia" w:cs="Times New Roman"/>
          <w:szCs w:val="24"/>
          <w:lang w:val="en-US" w:eastAsia="zh-CN"/>
        </w:rPr>
        <w:t>其中</w:t>
      </w:r>
      <w:r>
        <w:rPr>
          <w:rFonts w:hint="eastAsia" w:cs="Times New Roman"/>
          <w:szCs w:val="24"/>
        </w:rPr>
        <w:t>6.5m路基：0.25m土路肩+2×3.0m行车道+0.25m土路肩=6.5m。</w:t>
      </w:r>
    </w:p>
    <w:p>
      <w:pPr>
        <w:ind w:firstLine="480"/>
        <w:rPr>
          <w:rFonts w:cs="Times New Roman"/>
          <w:szCs w:val="24"/>
        </w:rPr>
      </w:pPr>
      <w:r>
        <w:rPr>
          <w:rFonts w:hint="eastAsia" w:cs="Times New Roman"/>
          <w:szCs w:val="24"/>
        </w:rPr>
        <w:t>珠姆措路是莲宝叶则风景区内连接莲宝叶则公路和珠姆措沟的主要道路，是进出珠姆措风景区的唯一通道。原路路基宽度6.5</w:t>
      </w:r>
      <w:r>
        <w:rPr>
          <w:rFonts w:cs="Times New Roman"/>
          <w:szCs w:val="24"/>
        </w:rPr>
        <w:t xml:space="preserve"> </w:t>
      </w:r>
      <w:r>
        <w:rPr>
          <w:rFonts w:hint="eastAsia" w:cs="Times New Roman"/>
          <w:szCs w:val="24"/>
        </w:rPr>
        <w:t>m，为四级公路，泥结碎石路面，由于路面结构层各项技术指标偏低，过往车辆增多，导致道路路面出现大量面层脱落、拥包、坑凼等现象。珠姆措</w:t>
      </w:r>
      <w:r>
        <w:rPr>
          <w:rFonts w:hint="eastAsia" w:cs="Times New Roman"/>
          <w:szCs w:val="24"/>
          <w:lang w:val="en-US" w:eastAsia="zh-CN"/>
        </w:rPr>
        <w:t>路</w:t>
      </w:r>
      <w:r>
        <w:rPr>
          <w:rFonts w:hint="eastAsia" w:cs="Times New Roman"/>
          <w:szCs w:val="24"/>
        </w:rPr>
        <w:t>主要为路面新建工程，采用设计时速为30</w:t>
      </w:r>
      <w:r>
        <w:rPr>
          <w:rFonts w:cs="Times New Roman"/>
          <w:szCs w:val="24"/>
        </w:rPr>
        <w:t xml:space="preserve"> </w:t>
      </w:r>
      <w:r>
        <w:rPr>
          <w:rFonts w:hint="eastAsia" w:cs="Times New Roman"/>
          <w:szCs w:val="24"/>
        </w:rPr>
        <w:t>km/h的双车道四级公路建设指标，路基宽7.5</w:t>
      </w:r>
      <w:r>
        <w:rPr>
          <w:rFonts w:cs="Times New Roman"/>
          <w:szCs w:val="24"/>
        </w:rPr>
        <w:t xml:space="preserve"> </w:t>
      </w:r>
      <w:r>
        <w:rPr>
          <w:rFonts w:hint="eastAsia" w:cs="Times New Roman"/>
          <w:szCs w:val="24"/>
        </w:rPr>
        <w:t>m，汽车荷载等级公路-Ⅱ级，路线主要沿原路布线。</w:t>
      </w:r>
    </w:p>
    <w:p>
      <w:pPr>
        <w:spacing w:after="32" w:afterLines="10"/>
        <w:ind w:firstLine="0" w:firstLineChars="0"/>
        <w:jc w:val="center"/>
        <w:rPr>
          <w:rFonts w:hint="eastAsia" w:cs="Times New Roman"/>
          <w:b/>
        </w:rPr>
      </w:pPr>
    </w:p>
    <w:p>
      <w:pPr>
        <w:spacing w:after="32" w:afterLines="10"/>
        <w:ind w:firstLine="0" w:firstLineChars="0"/>
        <w:jc w:val="center"/>
        <w:rPr>
          <w:rFonts w:hint="eastAsia" w:cs="Times New Roman"/>
          <w:b/>
        </w:rPr>
      </w:pPr>
    </w:p>
    <w:p>
      <w:pPr>
        <w:spacing w:after="32" w:afterLines="10"/>
        <w:ind w:firstLine="0" w:firstLineChars="0"/>
        <w:jc w:val="center"/>
        <w:rPr>
          <w:rFonts w:cs="Times New Roman"/>
          <w:b/>
        </w:rPr>
      </w:pPr>
      <w:r>
        <w:rPr>
          <w:rFonts w:hint="eastAsia" w:cs="Times New Roman"/>
          <w:b/>
        </w:rPr>
        <w:t>表</w:t>
      </w:r>
      <w:r>
        <w:rPr>
          <w:rFonts w:hint="eastAsia" w:cs="Times New Roman"/>
          <w:b/>
          <w:lang w:val="en-US" w:eastAsia="zh-CN"/>
        </w:rPr>
        <w:t>2</w:t>
      </w:r>
      <w:r>
        <w:rPr>
          <w:rFonts w:cs="Times New Roman"/>
          <w:b/>
        </w:rPr>
        <w:t>-</w:t>
      </w:r>
      <w:r>
        <w:rPr>
          <w:rFonts w:hint="eastAsia" w:cs="Times New Roman"/>
          <w:b/>
          <w:lang w:val="en-US" w:eastAsia="zh-CN"/>
        </w:rPr>
        <w:t xml:space="preserve">7 </w:t>
      </w:r>
      <w:r>
        <w:rPr>
          <w:rFonts w:hint="eastAsia" w:cs="Times New Roman"/>
          <w:b/>
        </w:rPr>
        <w:t>湿地公园内改建工程详情表</w:t>
      </w:r>
    </w:p>
    <w:tbl>
      <w:tblPr>
        <w:tblStyle w:val="4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22"/>
        <w:gridCol w:w="3134"/>
        <w:gridCol w:w="850"/>
        <w:gridCol w:w="783"/>
        <w:gridCol w:w="943"/>
        <w:gridCol w:w="8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922" w:type="dxa"/>
            <w:vAlign w:val="center"/>
          </w:tcPr>
          <w:p>
            <w:pPr>
              <w:spacing w:line="240" w:lineRule="auto"/>
              <w:ind w:firstLine="0" w:firstLineChars="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桩号起止</w:t>
            </w:r>
          </w:p>
        </w:tc>
        <w:tc>
          <w:tcPr>
            <w:tcW w:w="3134" w:type="dxa"/>
            <w:vAlign w:val="center"/>
          </w:tcPr>
          <w:p>
            <w:pPr>
              <w:spacing w:line="240" w:lineRule="auto"/>
              <w:ind w:firstLine="0" w:firstLineChars="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经纬度（°）</w:t>
            </w:r>
          </w:p>
        </w:tc>
        <w:tc>
          <w:tcPr>
            <w:tcW w:w="850" w:type="dxa"/>
            <w:vAlign w:val="center"/>
          </w:tcPr>
          <w:p>
            <w:pPr>
              <w:spacing w:line="240" w:lineRule="auto"/>
              <w:ind w:firstLine="0" w:firstLineChars="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建设</w:t>
            </w:r>
          </w:p>
          <w:p>
            <w:pPr>
              <w:spacing w:line="240" w:lineRule="auto"/>
              <w:ind w:firstLine="0" w:firstLineChars="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性质</w:t>
            </w:r>
          </w:p>
        </w:tc>
        <w:tc>
          <w:tcPr>
            <w:tcW w:w="783" w:type="dxa"/>
            <w:vAlign w:val="center"/>
          </w:tcPr>
          <w:p>
            <w:pPr>
              <w:spacing w:line="240" w:lineRule="auto"/>
              <w:ind w:firstLine="0" w:firstLineChars="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建设内容</w:t>
            </w:r>
          </w:p>
        </w:tc>
        <w:tc>
          <w:tcPr>
            <w:tcW w:w="943" w:type="dxa"/>
            <w:vAlign w:val="center"/>
          </w:tcPr>
          <w:p>
            <w:pPr>
              <w:spacing w:line="240" w:lineRule="auto"/>
              <w:ind w:firstLine="0" w:firstLineChars="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备注</w:t>
            </w:r>
          </w:p>
        </w:tc>
        <w:tc>
          <w:tcPr>
            <w:tcW w:w="896" w:type="dxa"/>
            <w:vAlign w:val="center"/>
          </w:tcPr>
          <w:p>
            <w:pPr>
              <w:spacing w:line="240" w:lineRule="auto"/>
              <w:ind w:firstLine="0" w:firstLineChars="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长度（m）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Align w:val="center"/>
          </w:tcPr>
          <w:p>
            <w:pPr>
              <w:spacing w:line="240" w:lineRule="auto"/>
              <w:ind w:firstLine="0" w:firstLineChars="0"/>
              <w:jc w:val="center"/>
              <w:rPr>
                <w:rFonts w:ascii="Times New Roman" w:hAnsi="Times New Roman" w:cs="Times New Roman" w:eastAsiaTheme="minorEastAsia"/>
                <w:color w:val="auto"/>
                <w:sz w:val="21"/>
                <w:szCs w:val="21"/>
              </w:rPr>
            </w:pPr>
            <w:r>
              <w:rPr>
                <w:rFonts w:hint="eastAsia" w:cs="Times New Roman" w:eastAsiaTheme="minorEastAsia"/>
                <w:bCs/>
                <w:color w:val="auto"/>
                <w:kern w:val="0"/>
                <w:sz w:val="21"/>
                <w:szCs w:val="21"/>
                <w:lang w:val="en-US" w:eastAsia="zh-CN"/>
              </w:rPr>
              <w:t>K32+773-K33+227（阿莲路段）</w:t>
            </w:r>
          </w:p>
        </w:tc>
        <w:tc>
          <w:tcPr>
            <w:tcW w:w="3134" w:type="dxa"/>
            <w:vAlign w:val="center"/>
          </w:tcPr>
          <w:p>
            <w:pPr>
              <w:spacing w:line="240" w:lineRule="auto"/>
              <w:ind w:firstLine="0" w:firstLineChars="0"/>
              <w:jc w:val="center"/>
              <w:rPr>
                <w:rFonts w:ascii="Times New Roman" w:hAnsi="Times New Roman" w:cs="Times New Roman" w:eastAsiaTheme="minorEastAsia"/>
                <w:color w:val="auto"/>
                <w:sz w:val="21"/>
                <w:szCs w:val="21"/>
              </w:rPr>
            </w:pPr>
            <w:r>
              <w:rPr>
                <w:rFonts w:hint="eastAsia" w:cs="Times New Roman" w:eastAsiaTheme="minorEastAsia"/>
                <w:color w:val="auto"/>
                <w:sz w:val="21"/>
                <w:szCs w:val="21"/>
                <w:lang w:val="en-US" w:eastAsia="zh-CN"/>
              </w:rPr>
              <w:t>E</w:t>
            </w:r>
            <w:r>
              <w:rPr>
                <w:rFonts w:hint="eastAsia" w:ascii="Times New Roman" w:hAnsi="Times New Roman" w:cs="Times New Roman" w:eastAsiaTheme="minorEastAsia"/>
                <w:color w:val="auto"/>
                <w:sz w:val="21"/>
                <w:szCs w:val="21"/>
              </w:rPr>
              <w:t>101.314651</w:t>
            </w:r>
            <w:r>
              <w:rPr>
                <w:rFonts w:hint="eastAsia" w:cs="Times New Roman" w:eastAsiaTheme="minorEastAsia"/>
                <w:color w:val="auto"/>
                <w:sz w:val="21"/>
                <w:szCs w:val="21"/>
                <w:lang w:val="en-US" w:eastAsia="zh-CN"/>
              </w:rPr>
              <w:t>°</w:t>
            </w:r>
            <w:r>
              <w:rPr>
                <w:rFonts w:hint="eastAsia" w:cs="Times New Roman" w:eastAsiaTheme="minorEastAsia"/>
                <w:color w:val="auto"/>
                <w:sz w:val="21"/>
                <w:szCs w:val="21"/>
                <w:lang w:eastAsia="zh-CN"/>
              </w:rPr>
              <w:t>，</w:t>
            </w:r>
            <w:r>
              <w:rPr>
                <w:rFonts w:hint="eastAsia" w:cs="Times New Roman" w:eastAsiaTheme="minorEastAsia"/>
                <w:color w:val="auto"/>
                <w:sz w:val="21"/>
                <w:szCs w:val="21"/>
                <w:lang w:val="en-US" w:eastAsia="zh-CN"/>
              </w:rPr>
              <w:t>N</w:t>
            </w:r>
            <w:r>
              <w:rPr>
                <w:rFonts w:hint="eastAsia" w:ascii="Times New Roman" w:hAnsi="Times New Roman" w:cs="Times New Roman" w:eastAsiaTheme="minorEastAsia"/>
                <w:color w:val="auto"/>
                <w:sz w:val="21"/>
                <w:szCs w:val="21"/>
              </w:rPr>
              <w:t>33.059486</w:t>
            </w:r>
            <w:r>
              <w:rPr>
                <w:rFonts w:hint="eastAsia" w:cs="Times New Roman" w:eastAsiaTheme="minorEastAsia"/>
                <w:color w:val="auto"/>
                <w:sz w:val="21"/>
                <w:szCs w:val="21"/>
                <w:lang w:val="en-US" w:eastAsia="zh-CN"/>
              </w:rPr>
              <w:t>°~E</w:t>
            </w:r>
            <w:r>
              <w:rPr>
                <w:rFonts w:hint="eastAsia" w:ascii="Times New Roman" w:hAnsi="Times New Roman" w:cs="Times New Roman" w:eastAsiaTheme="minorEastAsia"/>
                <w:color w:val="auto"/>
                <w:sz w:val="21"/>
                <w:szCs w:val="21"/>
              </w:rPr>
              <w:t>101.310888</w:t>
            </w:r>
            <w:r>
              <w:rPr>
                <w:rFonts w:hint="eastAsia" w:cs="Times New Roman" w:eastAsiaTheme="minorEastAsia"/>
                <w:color w:val="auto"/>
                <w:sz w:val="21"/>
                <w:szCs w:val="21"/>
                <w:lang w:val="en-US" w:eastAsia="zh-CN"/>
              </w:rPr>
              <w:t>°</w:t>
            </w:r>
            <w:r>
              <w:rPr>
                <w:rFonts w:hint="eastAsia" w:cs="Times New Roman" w:eastAsiaTheme="minorEastAsia"/>
                <w:color w:val="auto"/>
                <w:sz w:val="21"/>
                <w:szCs w:val="21"/>
                <w:lang w:eastAsia="zh-CN"/>
              </w:rPr>
              <w:t>，</w:t>
            </w:r>
            <w:r>
              <w:rPr>
                <w:rFonts w:hint="eastAsia" w:cs="Times New Roman" w:eastAsiaTheme="minorEastAsia"/>
                <w:color w:val="auto"/>
                <w:sz w:val="21"/>
                <w:szCs w:val="21"/>
                <w:lang w:val="en-US" w:eastAsia="zh-CN"/>
              </w:rPr>
              <w:t>N</w:t>
            </w:r>
            <w:r>
              <w:rPr>
                <w:rFonts w:hint="eastAsia" w:ascii="Times New Roman" w:hAnsi="Times New Roman" w:cs="Times New Roman" w:eastAsiaTheme="minorEastAsia"/>
                <w:color w:val="auto"/>
                <w:sz w:val="21"/>
                <w:szCs w:val="21"/>
              </w:rPr>
              <w:t>33.061985</w:t>
            </w:r>
            <w:r>
              <w:rPr>
                <w:rFonts w:hint="eastAsia" w:cs="Times New Roman" w:eastAsiaTheme="minorEastAsia"/>
                <w:color w:val="auto"/>
                <w:sz w:val="21"/>
                <w:szCs w:val="21"/>
                <w:lang w:val="en-US" w:eastAsia="zh-CN"/>
              </w:rPr>
              <w:t>°</w:t>
            </w:r>
          </w:p>
        </w:tc>
        <w:tc>
          <w:tcPr>
            <w:tcW w:w="850" w:type="dxa"/>
            <w:vAlign w:val="center"/>
          </w:tcPr>
          <w:p>
            <w:pPr>
              <w:spacing w:line="240" w:lineRule="auto"/>
              <w:ind w:firstLine="0" w:firstLineChars="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改建</w:t>
            </w:r>
          </w:p>
        </w:tc>
        <w:tc>
          <w:tcPr>
            <w:tcW w:w="783" w:type="dxa"/>
            <w:vAlign w:val="center"/>
          </w:tcPr>
          <w:p>
            <w:pPr>
              <w:spacing w:line="240" w:lineRule="auto"/>
              <w:ind w:firstLine="0" w:firstLineChars="0"/>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路基</w:t>
            </w:r>
          </w:p>
        </w:tc>
        <w:tc>
          <w:tcPr>
            <w:tcW w:w="943" w:type="dxa"/>
            <w:vAlign w:val="center"/>
          </w:tcPr>
          <w:p>
            <w:pPr>
              <w:spacing w:line="240" w:lineRule="auto"/>
              <w:ind w:firstLine="0" w:firstLineChars="0"/>
              <w:jc w:val="center"/>
              <w:rPr>
                <w:rFonts w:ascii="Times New Roman" w:hAnsi="Times New Roman" w:cs="Times New Roman" w:eastAsiaTheme="minorEastAsia"/>
                <w:color w:val="auto"/>
                <w:sz w:val="21"/>
                <w:szCs w:val="21"/>
              </w:rPr>
            </w:pPr>
            <w:r>
              <w:rPr>
                <w:rFonts w:hint="eastAsia" w:cs="Times New Roman" w:asciiTheme="minorHAnsi" w:hAnsiTheme="minorEastAsia" w:eastAsiaTheme="minorEastAsia"/>
                <w:bCs/>
                <w:color w:val="auto"/>
                <w:kern w:val="0"/>
                <w:sz w:val="21"/>
                <w:szCs w:val="21"/>
              </w:rPr>
              <w:t>管理服务区</w:t>
            </w:r>
          </w:p>
        </w:tc>
        <w:tc>
          <w:tcPr>
            <w:tcW w:w="896" w:type="dxa"/>
            <w:vAlign w:val="center"/>
          </w:tcPr>
          <w:p>
            <w:pPr>
              <w:widowControl/>
              <w:spacing w:line="240" w:lineRule="auto"/>
              <w:ind w:firstLine="0" w:firstLineChars="0"/>
              <w:jc w:val="center"/>
              <w:rPr>
                <w:rFonts w:ascii="Times New Roman" w:hAnsi="Times New Roman" w:cs="Times New Roman" w:eastAsiaTheme="minorEastAsia"/>
                <w:color w:val="auto"/>
                <w:sz w:val="21"/>
                <w:szCs w:val="21"/>
              </w:rPr>
            </w:pPr>
            <w:r>
              <w:rPr>
                <w:rFonts w:hint="eastAsia" w:cs="Times New Roman" w:eastAsiaTheme="minorEastAsia"/>
                <w:bCs/>
                <w:color w:val="auto"/>
                <w:kern w:val="0"/>
                <w:sz w:val="21"/>
                <w:szCs w:val="21"/>
                <w:lang w:val="en-US" w:eastAsia="zh-CN"/>
              </w:rPr>
              <w:t>454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Align w:val="center"/>
          </w:tcPr>
          <w:p>
            <w:pPr>
              <w:spacing w:line="240" w:lineRule="auto"/>
              <w:ind w:firstLine="0" w:firstLineChars="0"/>
              <w:jc w:val="center"/>
              <w:rPr>
                <w:rFonts w:hint="eastAsia" w:cs="Times New Roman" w:eastAsiaTheme="minorEastAsia"/>
                <w:bCs/>
                <w:color w:val="auto"/>
                <w:kern w:val="0"/>
                <w:sz w:val="21"/>
                <w:szCs w:val="21"/>
                <w:lang w:val="en-US" w:eastAsia="zh-CN"/>
              </w:rPr>
            </w:pPr>
            <w:r>
              <w:rPr>
                <w:rFonts w:hint="eastAsia" w:cs="Times New Roman" w:eastAsiaTheme="minorEastAsia"/>
                <w:bCs/>
                <w:color w:val="auto"/>
                <w:kern w:val="0"/>
                <w:sz w:val="21"/>
                <w:szCs w:val="21"/>
                <w:lang w:val="en-US" w:eastAsia="zh-CN"/>
              </w:rPr>
              <w:t>K33+227-K33+599</w:t>
            </w:r>
          </w:p>
          <w:p>
            <w:pPr>
              <w:spacing w:line="240" w:lineRule="auto"/>
              <w:ind w:firstLine="0" w:firstLineChars="0"/>
              <w:jc w:val="center"/>
              <w:rPr>
                <w:rFonts w:ascii="Times New Roman" w:hAnsi="Times New Roman" w:cs="Times New Roman" w:eastAsiaTheme="minorEastAsia"/>
                <w:color w:val="auto"/>
                <w:kern w:val="2"/>
                <w:sz w:val="21"/>
                <w:szCs w:val="21"/>
                <w:lang w:val="en-US" w:eastAsia="zh-CN" w:bidi="ar-SA"/>
              </w:rPr>
            </w:pPr>
            <w:r>
              <w:rPr>
                <w:rFonts w:hint="eastAsia" w:cs="Times New Roman" w:eastAsiaTheme="minorEastAsia"/>
                <w:bCs/>
                <w:color w:val="auto"/>
                <w:kern w:val="0"/>
                <w:sz w:val="21"/>
                <w:szCs w:val="21"/>
                <w:lang w:val="en-US" w:eastAsia="zh-CN"/>
              </w:rPr>
              <w:t>（阿莲路段）</w:t>
            </w:r>
          </w:p>
        </w:tc>
        <w:tc>
          <w:tcPr>
            <w:tcW w:w="3134" w:type="dxa"/>
            <w:vAlign w:val="center"/>
          </w:tcPr>
          <w:p>
            <w:pPr>
              <w:spacing w:line="240" w:lineRule="auto"/>
              <w:ind w:firstLine="0" w:firstLineChars="0"/>
              <w:jc w:val="center"/>
              <w:rPr>
                <w:rFonts w:ascii="Times New Roman" w:hAnsi="Times New Roman" w:cs="Times New Roman" w:eastAsiaTheme="minorEastAsia"/>
                <w:bCs/>
                <w:color w:val="auto"/>
                <w:kern w:val="0"/>
                <w:sz w:val="21"/>
                <w:szCs w:val="21"/>
                <w:lang w:val="en-US" w:eastAsia="zh-CN" w:bidi="ar-SA"/>
              </w:rPr>
            </w:pPr>
            <w:r>
              <w:rPr>
                <w:rFonts w:hint="eastAsia" w:cs="Times New Roman" w:eastAsiaTheme="minorEastAsia"/>
                <w:bCs/>
                <w:color w:val="auto"/>
                <w:kern w:val="0"/>
                <w:sz w:val="21"/>
                <w:szCs w:val="21"/>
                <w:lang w:val="en-US" w:eastAsia="zh-CN" w:bidi="ar-SA"/>
              </w:rPr>
              <w:t>E</w:t>
            </w:r>
            <w:r>
              <w:rPr>
                <w:rFonts w:hint="eastAsia" w:ascii="Times New Roman" w:hAnsi="Times New Roman" w:cs="Times New Roman" w:eastAsiaTheme="minorEastAsia"/>
                <w:bCs/>
                <w:color w:val="auto"/>
                <w:kern w:val="0"/>
                <w:sz w:val="21"/>
                <w:szCs w:val="21"/>
                <w:lang w:val="en-US" w:eastAsia="zh-CN" w:bidi="ar-SA"/>
              </w:rPr>
              <w:t>101.310888</w:t>
            </w:r>
            <w:r>
              <w:rPr>
                <w:rFonts w:hint="eastAsia" w:cs="Times New Roman" w:eastAsiaTheme="minorEastAsia"/>
                <w:color w:val="auto"/>
                <w:sz w:val="21"/>
                <w:szCs w:val="21"/>
                <w:lang w:val="en-US" w:eastAsia="zh-CN"/>
              </w:rPr>
              <w:t>°，</w:t>
            </w:r>
            <w:r>
              <w:rPr>
                <w:rFonts w:hint="eastAsia" w:cs="Times New Roman" w:eastAsiaTheme="minorEastAsia"/>
                <w:bCs/>
                <w:color w:val="auto"/>
                <w:kern w:val="0"/>
                <w:sz w:val="21"/>
                <w:szCs w:val="21"/>
                <w:lang w:val="en-US" w:eastAsia="zh-CN" w:bidi="ar-SA"/>
              </w:rPr>
              <w:t>N</w:t>
            </w:r>
            <w:r>
              <w:rPr>
                <w:rFonts w:hint="eastAsia" w:ascii="Times New Roman" w:hAnsi="Times New Roman" w:cs="Times New Roman" w:eastAsiaTheme="minorEastAsia"/>
                <w:bCs/>
                <w:color w:val="auto"/>
                <w:kern w:val="0"/>
                <w:sz w:val="21"/>
                <w:szCs w:val="21"/>
                <w:lang w:val="en-US" w:eastAsia="zh-CN" w:bidi="ar-SA"/>
              </w:rPr>
              <w:t>33.061985</w:t>
            </w:r>
            <w:r>
              <w:rPr>
                <w:rFonts w:hint="eastAsia" w:cs="Times New Roman" w:eastAsiaTheme="minorEastAsia"/>
                <w:color w:val="auto"/>
                <w:sz w:val="21"/>
                <w:szCs w:val="21"/>
                <w:lang w:val="en-US" w:eastAsia="zh-CN"/>
              </w:rPr>
              <w:t>°</w:t>
            </w:r>
            <w:r>
              <w:rPr>
                <w:rFonts w:hint="eastAsia" w:cs="Times New Roman" w:eastAsiaTheme="minorEastAsia"/>
                <w:bCs/>
                <w:color w:val="auto"/>
                <w:kern w:val="0"/>
                <w:sz w:val="21"/>
                <w:szCs w:val="21"/>
                <w:lang w:val="en-US" w:eastAsia="zh-CN" w:bidi="ar-SA"/>
              </w:rPr>
              <w:t>~E</w:t>
            </w:r>
            <w:r>
              <w:rPr>
                <w:rFonts w:hint="eastAsia" w:ascii="Times New Roman" w:hAnsi="Times New Roman" w:cs="Times New Roman" w:eastAsiaTheme="minorEastAsia"/>
                <w:bCs/>
                <w:color w:val="auto"/>
                <w:kern w:val="0"/>
                <w:sz w:val="21"/>
                <w:szCs w:val="21"/>
                <w:lang w:val="en-US" w:eastAsia="zh-CN" w:bidi="ar-SA"/>
              </w:rPr>
              <w:t>101.307741</w:t>
            </w:r>
            <w:r>
              <w:rPr>
                <w:rFonts w:hint="eastAsia" w:cs="Times New Roman" w:eastAsiaTheme="minorEastAsia"/>
                <w:color w:val="auto"/>
                <w:sz w:val="21"/>
                <w:szCs w:val="21"/>
                <w:lang w:val="en-US" w:eastAsia="zh-CN"/>
              </w:rPr>
              <w:t>，</w:t>
            </w:r>
            <w:r>
              <w:rPr>
                <w:rFonts w:hint="eastAsia" w:cs="Times New Roman" w:eastAsiaTheme="minorEastAsia"/>
                <w:bCs/>
                <w:color w:val="auto"/>
                <w:kern w:val="0"/>
                <w:sz w:val="21"/>
                <w:szCs w:val="21"/>
                <w:lang w:val="en-US" w:eastAsia="zh-CN" w:bidi="ar-SA"/>
              </w:rPr>
              <w:t>N</w:t>
            </w:r>
            <w:r>
              <w:rPr>
                <w:rFonts w:hint="eastAsia" w:ascii="Times New Roman" w:hAnsi="Times New Roman" w:cs="Times New Roman" w:eastAsiaTheme="minorEastAsia"/>
                <w:bCs/>
                <w:color w:val="auto"/>
                <w:kern w:val="0"/>
                <w:sz w:val="21"/>
                <w:szCs w:val="21"/>
                <w:lang w:val="en-US" w:eastAsia="zh-CN" w:bidi="ar-SA"/>
              </w:rPr>
              <w:t>33.063839</w:t>
            </w:r>
            <w:r>
              <w:rPr>
                <w:rFonts w:hint="eastAsia" w:cs="Times New Roman" w:eastAsiaTheme="minorEastAsia"/>
                <w:color w:val="auto"/>
                <w:sz w:val="21"/>
                <w:szCs w:val="21"/>
                <w:lang w:val="en-US" w:eastAsia="zh-CN"/>
              </w:rPr>
              <w:t>°</w:t>
            </w:r>
          </w:p>
        </w:tc>
        <w:tc>
          <w:tcPr>
            <w:tcW w:w="850" w:type="dxa"/>
            <w:vAlign w:val="center"/>
          </w:tcPr>
          <w:p>
            <w:pPr>
              <w:spacing w:line="240" w:lineRule="auto"/>
              <w:ind w:firstLine="0" w:firstLineChars="0"/>
              <w:jc w:val="center"/>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sz w:val="21"/>
                <w:szCs w:val="21"/>
              </w:rPr>
              <w:t>改建</w:t>
            </w:r>
          </w:p>
        </w:tc>
        <w:tc>
          <w:tcPr>
            <w:tcW w:w="783" w:type="dxa"/>
            <w:vAlign w:val="center"/>
          </w:tcPr>
          <w:p>
            <w:pPr>
              <w:spacing w:line="240" w:lineRule="auto"/>
              <w:ind w:firstLine="0" w:firstLineChars="0"/>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sz w:val="21"/>
                <w:szCs w:val="21"/>
              </w:rPr>
              <w:t>路基</w:t>
            </w:r>
          </w:p>
        </w:tc>
        <w:tc>
          <w:tcPr>
            <w:tcW w:w="943" w:type="dxa"/>
            <w:vAlign w:val="center"/>
          </w:tcPr>
          <w:p>
            <w:pPr>
              <w:spacing w:line="240" w:lineRule="auto"/>
              <w:ind w:firstLine="0" w:firstLineChars="0"/>
              <w:jc w:val="center"/>
              <w:rPr>
                <w:rFonts w:hint="eastAsia" w:ascii="Times New Roman" w:hAnsi="Times New Roman" w:cs="Times New Roman" w:eastAsiaTheme="minorEastAsia"/>
                <w:color w:val="auto"/>
                <w:kern w:val="2"/>
                <w:sz w:val="21"/>
                <w:szCs w:val="21"/>
                <w:lang w:val="en-US" w:eastAsia="zh-CN" w:bidi="ar-SA"/>
              </w:rPr>
            </w:pPr>
            <w:r>
              <w:rPr>
                <w:rFonts w:hint="eastAsia" w:cs="Times New Roman" w:asciiTheme="minorHAnsi" w:hAnsiTheme="minorEastAsia" w:eastAsiaTheme="minorEastAsia"/>
                <w:bCs/>
                <w:color w:val="auto"/>
                <w:kern w:val="0"/>
                <w:sz w:val="21"/>
                <w:szCs w:val="21"/>
              </w:rPr>
              <w:t>综合利用区</w:t>
            </w:r>
          </w:p>
        </w:tc>
        <w:tc>
          <w:tcPr>
            <w:tcW w:w="896" w:type="dxa"/>
            <w:vAlign w:val="center"/>
          </w:tcPr>
          <w:p>
            <w:pPr>
              <w:widowControl/>
              <w:spacing w:line="240" w:lineRule="auto"/>
              <w:ind w:firstLine="0" w:firstLineChars="0"/>
              <w:jc w:val="center"/>
              <w:rPr>
                <w:rFonts w:hint="eastAsia" w:ascii="Times New Roman" w:hAnsi="Times New Roman" w:cs="Times New Roman" w:eastAsiaTheme="minorEastAsia"/>
                <w:bCs/>
                <w:color w:val="auto"/>
                <w:kern w:val="0"/>
                <w:sz w:val="21"/>
                <w:szCs w:val="21"/>
                <w:lang w:val="en-US" w:eastAsia="zh-CN" w:bidi="ar-SA"/>
              </w:rPr>
            </w:pPr>
            <w:r>
              <w:rPr>
                <w:rFonts w:hint="eastAsia" w:cs="Times New Roman" w:eastAsiaTheme="minorEastAsia"/>
                <w:bCs/>
                <w:color w:val="auto"/>
                <w:kern w:val="0"/>
                <w:sz w:val="21"/>
                <w:szCs w:val="21"/>
                <w:lang w:val="en-US" w:eastAsia="zh-CN"/>
              </w:rPr>
              <w:t>372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Align w:val="center"/>
          </w:tcPr>
          <w:p>
            <w:pPr>
              <w:spacing w:line="240" w:lineRule="auto"/>
              <w:ind w:firstLine="0" w:firstLineChars="0"/>
              <w:jc w:val="center"/>
              <w:rPr>
                <w:rFonts w:hint="eastAsia" w:cs="Times New Roman" w:eastAsiaTheme="minorEastAsia"/>
                <w:bCs/>
                <w:color w:val="auto"/>
                <w:kern w:val="0"/>
                <w:sz w:val="21"/>
                <w:szCs w:val="21"/>
                <w:lang w:val="en-US" w:eastAsia="zh-CN"/>
              </w:rPr>
            </w:pPr>
            <w:r>
              <w:rPr>
                <w:rFonts w:hint="eastAsia" w:cs="Times New Roman" w:eastAsiaTheme="minorEastAsia"/>
                <w:bCs/>
                <w:color w:val="auto"/>
                <w:kern w:val="0"/>
                <w:sz w:val="21"/>
                <w:szCs w:val="21"/>
                <w:lang w:val="en-US" w:eastAsia="zh-CN"/>
              </w:rPr>
              <w:t>K00+000-K9+099</w:t>
            </w:r>
          </w:p>
          <w:p>
            <w:pPr>
              <w:spacing w:line="240" w:lineRule="auto"/>
              <w:ind w:firstLine="0" w:firstLineChars="0"/>
              <w:jc w:val="center"/>
              <w:rPr>
                <w:rFonts w:hint="eastAsia" w:ascii="Times New Roman" w:hAnsi="Times New Roman" w:cs="Times New Roman" w:eastAsiaTheme="minorEastAsia"/>
                <w:color w:val="auto"/>
                <w:kern w:val="2"/>
                <w:sz w:val="21"/>
                <w:szCs w:val="21"/>
                <w:lang w:val="en-US" w:eastAsia="zh-CN" w:bidi="ar-SA"/>
              </w:rPr>
            </w:pPr>
            <w:r>
              <w:rPr>
                <w:rFonts w:hint="eastAsia" w:cs="Times New Roman" w:eastAsiaTheme="minorEastAsia"/>
                <w:bCs/>
                <w:color w:val="auto"/>
                <w:kern w:val="0"/>
                <w:sz w:val="21"/>
                <w:szCs w:val="21"/>
                <w:lang w:val="en-US" w:eastAsia="zh-CN"/>
              </w:rPr>
              <w:t>（珠姆措段）</w:t>
            </w:r>
          </w:p>
        </w:tc>
        <w:tc>
          <w:tcPr>
            <w:tcW w:w="3134" w:type="dxa"/>
            <w:vAlign w:val="center"/>
          </w:tcPr>
          <w:p>
            <w:pPr>
              <w:spacing w:line="240" w:lineRule="auto"/>
              <w:ind w:firstLine="0" w:firstLineChars="0"/>
              <w:jc w:val="center"/>
              <w:rPr>
                <w:rFonts w:ascii="Times New Roman" w:hAnsi="Times New Roman" w:cs="Times New Roman" w:eastAsiaTheme="minorEastAsia"/>
                <w:bCs/>
                <w:color w:val="auto"/>
                <w:kern w:val="0"/>
                <w:sz w:val="21"/>
                <w:szCs w:val="21"/>
                <w:lang w:val="en-US" w:eastAsia="zh-CN" w:bidi="ar-SA"/>
              </w:rPr>
            </w:pPr>
            <w:r>
              <w:rPr>
                <w:rFonts w:hint="eastAsia" w:cs="Times New Roman" w:eastAsiaTheme="minorEastAsia"/>
                <w:bCs/>
                <w:color w:val="auto"/>
                <w:kern w:val="0"/>
                <w:sz w:val="21"/>
                <w:szCs w:val="21"/>
                <w:lang w:val="en-US" w:eastAsia="zh-CN" w:bidi="ar-SA"/>
              </w:rPr>
              <w:t>E</w:t>
            </w:r>
            <w:r>
              <w:rPr>
                <w:rFonts w:hint="eastAsia" w:ascii="Times New Roman" w:hAnsi="Times New Roman" w:cs="Times New Roman" w:eastAsiaTheme="minorEastAsia"/>
                <w:bCs/>
                <w:color w:val="auto"/>
                <w:kern w:val="0"/>
                <w:sz w:val="21"/>
                <w:szCs w:val="21"/>
                <w:lang w:val="en-US" w:eastAsia="zh-CN" w:bidi="ar-SA"/>
              </w:rPr>
              <w:t>101.307741</w:t>
            </w:r>
            <w:r>
              <w:rPr>
                <w:rFonts w:hint="eastAsia" w:cs="Times New Roman" w:eastAsiaTheme="minorEastAsia"/>
                <w:bCs/>
                <w:color w:val="auto"/>
                <w:kern w:val="0"/>
                <w:sz w:val="21"/>
                <w:szCs w:val="21"/>
                <w:lang w:val="en-US" w:eastAsia="zh-CN" w:bidi="ar-SA"/>
              </w:rPr>
              <w:t>°，N</w:t>
            </w:r>
            <w:r>
              <w:rPr>
                <w:rFonts w:hint="eastAsia" w:ascii="Times New Roman" w:hAnsi="Times New Roman" w:cs="Times New Roman" w:eastAsiaTheme="minorEastAsia"/>
                <w:bCs/>
                <w:color w:val="auto"/>
                <w:kern w:val="0"/>
                <w:sz w:val="21"/>
                <w:szCs w:val="21"/>
                <w:lang w:val="en-US" w:eastAsia="zh-CN" w:bidi="ar-SA"/>
              </w:rPr>
              <w:t>33.063839</w:t>
            </w:r>
            <w:r>
              <w:rPr>
                <w:rFonts w:hint="eastAsia" w:cs="Times New Roman" w:eastAsiaTheme="minorEastAsia"/>
                <w:bCs/>
                <w:color w:val="auto"/>
                <w:kern w:val="0"/>
                <w:sz w:val="21"/>
                <w:szCs w:val="21"/>
                <w:lang w:val="en-US" w:eastAsia="zh-CN" w:bidi="ar-SA"/>
              </w:rPr>
              <w:t>°~E</w:t>
            </w:r>
            <w:r>
              <w:rPr>
                <w:rFonts w:hint="eastAsia" w:ascii="Times New Roman" w:hAnsi="Times New Roman" w:cs="Times New Roman" w:eastAsiaTheme="minorEastAsia"/>
                <w:bCs/>
                <w:color w:val="auto"/>
                <w:kern w:val="0"/>
                <w:sz w:val="21"/>
                <w:szCs w:val="21"/>
                <w:lang w:val="en-US" w:eastAsia="zh-CN" w:bidi="ar-SA"/>
              </w:rPr>
              <w:t>101.255168</w:t>
            </w:r>
            <w:r>
              <w:rPr>
                <w:rFonts w:hint="eastAsia" w:cs="Times New Roman" w:eastAsiaTheme="minorEastAsia"/>
                <w:bCs/>
                <w:color w:val="auto"/>
                <w:kern w:val="0"/>
                <w:sz w:val="21"/>
                <w:szCs w:val="21"/>
                <w:lang w:val="en-US" w:eastAsia="zh-CN" w:bidi="ar-SA"/>
              </w:rPr>
              <w:t>°，N</w:t>
            </w:r>
            <w:r>
              <w:rPr>
                <w:rFonts w:hint="eastAsia" w:ascii="Times New Roman" w:hAnsi="Times New Roman" w:cs="Times New Roman" w:eastAsiaTheme="minorEastAsia"/>
                <w:bCs/>
                <w:color w:val="auto"/>
                <w:kern w:val="0"/>
                <w:sz w:val="21"/>
                <w:szCs w:val="21"/>
                <w:lang w:val="en-US" w:eastAsia="zh-CN" w:bidi="ar-SA"/>
              </w:rPr>
              <w:t>33.128868</w:t>
            </w:r>
            <w:r>
              <w:rPr>
                <w:rFonts w:hint="eastAsia" w:cs="Times New Roman" w:eastAsiaTheme="minorEastAsia"/>
                <w:bCs/>
                <w:color w:val="auto"/>
                <w:kern w:val="0"/>
                <w:sz w:val="21"/>
                <w:szCs w:val="21"/>
                <w:lang w:val="en-US" w:eastAsia="zh-CN" w:bidi="ar-SA"/>
              </w:rPr>
              <w:t>°</w:t>
            </w:r>
          </w:p>
        </w:tc>
        <w:tc>
          <w:tcPr>
            <w:tcW w:w="850" w:type="dxa"/>
            <w:vAlign w:val="center"/>
          </w:tcPr>
          <w:p>
            <w:pPr>
              <w:spacing w:line="240" w:lineRule="auto"/>
              <w:ind w:firstLine="0" w:firstLineChars="0"/>
              <w:jc w:val="center"/>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sz w:val="21"/>
                <w:szCs w:val="21"/>
              </w:rPr>
              <w:t>改建</w:t>
            </w:r>
          </w:p>
        </w:tc>
        <w:tc>
          <w:tcPr>
            <w:tcW w:w="783" w:type="dxa"/>
            <w:vAlign w:val="center"/>
          </w:tcPr>
          <w:p>
            <w:pPr>
              <w:spacing w:line="240" w:lineRule="auto"/>
              <w:ind w:firstLine="0" w:firstLineChars="0"/>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sz w:val="21"/>
                <w:szCs w:val="21"/>
              </w:rPr>
              <w:t>路基</w:t>
            </w:r>
          </w:p>
        </w:tc>
        <w:tc>
          <w:tcPr>
            <w:tcW w:w="943" w:type="dxa"/>
            <w:vAlign w:val="center"/>
          </w:tcPr>
          <w:p>
            <w:pPr>
              <w:spacing w:line="240" w:lineRule="auto"/>
              <w:ind w:firstLine="0" w:firstLineChars="0"/>
              <w:jc w:val="center"/>
              <w:rPr>
                <w:rFonts w:hint="eastAsia" w:ascii="Times New Roman" w:hAnsi="Times New Roman" w:cs="Times New Roman" w:eastAsiaTheme="minorEastAsia"/>
                <w:color w:val="auto"/>
                <w:kern w:val="2"/>
                <w:sz w:val="21"/>
                <w:szCs w:val="21"/>
                <w:lang w:val="en-US" w:eastAsia="zh-CN" w:bidi="ar-SA"/>
              </w:rPr>
            </w:pPr>
            <w:r>
              <w:rPr>
                <w:rFonts w:hint="eastAsia" w:cs="Times New Roman" w:asciiTheme="minorHAnsi" w:hAnsiTheme="minorEastAsia" w:eastAsiaTheme="minorEastAsia"/>
                <w:bCs/>
                <w:color w:val="auto"/>
                <w:kern w:val="0"/>
                <w:sz w:val="21"/>
                <w:szCs w:val="21"/>
              </w:rPr>
              <w:t>综合利用区</w:t>
            </w:r>
          </w:p>
        </w:tc>
        <w:tc>
          <w:tcPr>
            <w:tcW w:w="896" w:type="dxa"/>
            <w:vAlign w:val="center"/>
          </w:tcPr>
          <w:p>
            <w:pPr>
              <w:widowControl/>
              <w:spacing w:line="240" w:lineRule="auto"/>
              <w:ind w:firstLine="0" w:firstLineChars="0"/>
              <w:jc w:val="center"/>
              <w:rPr>
                <w:rFonts w:hint="eastAsia" w:ascii="Times New Roman" w:hAnsi="Times New Roman" w:cs="Times New Roman" w:eastAsiaTheme="minorEastAsia"/>
                <w:color w:val="auto"/>
                <w:kern w:val="2"/>
                <w:sz w:val="21"/>
                <w:szCs w:val="21"/>
                <w:lang w:val="en-US" w:eastAsia="zh-CN" w:bidi="ar-SA"/>
              </w:rPr>
            </w:pPr>
            <w:r>
              <w:rPr>
                <w:rFonts w:hint="eastAsia" w:cs="Times New Roman" w:eastAsiaTheme="minorEastAsia"/>
                <w:bCs/>
                <w:color w:val="auto"/>
                <w:kern w:val="0"/>
                <w:sz w:val="21"/>
                <w:szCs w:val="21"/>
                <w:lang w:val="en-US" w:eastAsia="zh-CN"/>
              </w:rPr>
              <w:t>9099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Align w:val="center"/>
          </w:tcPr>
          <w:p>
            <w:pPr>
              <w:spacing w:line="240" w:lineRule="auto"/>
              <w:ind w:firstLine="0" w:firstLineChars="0"/>
              <w:jc w:val="center"/>
              <w:rPr>
                <w:rFonts w:hint="eastAsia" w:cs="Times New Roman" w:eastAsiaTheme="minorEastAsia"/>
                <w:bCs/>
                <w:color w:val="auto"/>
                <w:kern w:val="0"/>
                <w:sz w:val="21"/>
                <w:szCs w:val="21"/>
                <w:lang w:val="en-US" w:eastAsia="zh-CN"/>
              </w:rPr>
            </w:pPr>
            <w:r>
              <w:rPr>
                <w:rFonts w:hint="eastAsia" w:cs="Times New Roman" w:eastAsiaTheme="minorEastAsia"/>
                <w:bCs/>
                <w:color w:val="auto"/>
                <w:kern w:val="0"/>
                <w:sz w:val="21"/>
                <w:szCs w:val="21"/>
                <w:lang w:val="en-US" w:eastAsia="zh-CN"/>
              </w:rPr>
              <w:t>K9+099-K10+074</w:t>
            </w:r>
          </w:p>
          <w:p>
            <w:pPr>
              <w:spacing w:line="240" w:lineRule="auto"/>
              <w:ind w:firstLine="0" w:firstLineChars="0"/>
              <w:jc w:val="center"/>
              <w:rPr>
                <w:rFonts w:hint="eastAsia" w:ascii="Times New Roman" w:hAnsi="Times New Roman" w:cs="Times New Roman" w:eastAsiaTheme="minorEastAsia"/>
                <w:color w:val="auto"/>
                <w:kern w:val="2"/>
                <w:sz w:val="21"/>
                <w:szCs w:val="21"/>
                <w:lang w:val="en-US" w:eastAsia="zh-CN" w:bidi="ar-SA"/>
              </w:rPr>
            </w:pPr>
            <w:r>
              <w:rPr>
                <w:rFonts w:hint="eastAsia" w:cs="Times New Roman" w:eastAsiaTheme="minorEastAsia"/>
                <w:bCs/>
                <w:color w:val="auto"/>
                <w:kern w:val="0"/>
                <w:sz w:val="21"/>
                <w:szCs w:val="21"/>
                <w:lang w:val="en-US" w:eastAsia="zh-CN"/>
              </w:rPr>
              <w:t>（珠姆措段）</w:t>
            </w:r>
          </w:p>
        </w:tc>
        <w:tc>
          <w:tcPr>
            <w:tcW w:w="3134" w:type="dxa"/>
            <w:vAlign w:val="center"/>
          </w:tcPr>
          <w:p>
            <w:pPr>
              <w:spacing w:line="240" w:lineRule="auto"/>
              <w:ind w:firstLine="0" w:firstLineChars="0"/>
              <w:jc w:val="both"/>
              <w:rPr>
                <w:rFonts w:hint="default" w:ascii="Times New Roman" w:hAnsi="Times New Roman" w:cs="Times New Roman" w:eastAsiaTheme="minorEastAsia"/>
                <w:color w:val="auto"/>
                <w:kern w:val="2"/>
                <w:sz w:val="21"/>
                <w:szCs w:val="21"/>
                <w:lang w:val="en-US" w:eastAsia="zh-CN" w:bidi="ar-SA"/>
              </w:rPr>
            </w:pPr>
            <w:r>
              <w:rPr>
                <w:rFonts w:hint="eastAsia" w:cs="Times New Roman" w:eastAsiaTheme="minorEastAsia"/>
                <w:bCs/>
                <w:color w:val="auto"/>
                <w:kern w:val="0"/>
                <w:sz w:val="21"/>
                <w:szCs w:val="21"/>
                <w:lang w:val="en-US" w:eastAsia="zh-CN" w:bidi="ar-SA"/>
              </w:rPr>
              <w:t>E</w:t>
            </w:r>
            <w:r>
              <w:rPr>
                <w:rFonts w:hint="eastAsia" w:ascii="Times New Roman" w:hAnsi="Times New Roman" w:cs="Times New Roman" w:eastAsiaTheme="minorEastAsia"/>
                <w:color w:val="auto"/>
                <w:kern w:val="2"/>
                <w:sz w:val="21"/>
                <w:szCs w:val="21"/>
                <w:lang w:val="en-US" w:eastAsia="zh-CN" w:bidi="ar-SA"/>
              </w:rPr>
              <w:t>101.255168</w:t>
            </w:r>
            <w:r>
              <w:rPr>
                <w:rFonts w:hint="eastAsia" w:cs="Times New Roman" w:eastAsiaTheme="minorEastAsia"/>
                <w:color w:val="auto"/>
                <w:kern w:val="2"/>
                <w:sz w:val="21"/>
                <w:szCs w:val="21"/>
                <w:lang w:val="en-US" w:eastAsia="zh-CN" w:bidi="ar-SA"/>
              </w:rPr>
              <w:t>°，</w:t>
            </w:r>
            <w:r>
              <w:rPr>
                <w:rFonts w:hint="eastAsia" w:cs="Times New Roman" w:eastAsiaTheme="minorEastAsia"/>
                <w:bCs/>
                <w:color w:val="auto"/>
                <w:kern w:val="0"/>
                <w:sz w:val="21"/>
                <w:szCs w:val="21"/>
                <w:lang w:val="en-US" w:eastAsia="zh-CN" w:bidi="ar-SA"/>
              </w:rPr>
              <w:t>N</w:t>
            </w:r>
            <w:r>
              <w:rPr>
                <w:rFonts w:hint="eastAsia" w:ascii="Times New Roman" w:hAnsi="Times New Roman" w:cs="Times New Roman" w:eastAsiaTheme="minorEastAsia"/>
                <w:color w:val="auto"/>
                <w:kern w:val="2"/>
                <w:sz w:val="21"/>
                <w:szCs w:val="21"/>
                <w:lang w:val="en-US" w:eastAsia="zh-CN" w:bidi="ar-SA"/>
              </w:rPr>
              <w:t>33.128868</w:t>
            </w:r>
            <w:r>
              <w:rPr>
                <w:rFonts w:hint="eastAsia" w:cs="Times New Roman" w:eastAsiaTheme="minorEastAsia"/>
                <w:color w:val="auto"/>
                <w:kern w:val="2"/>
                <w:sz w:val="21"/>
                <w:szCs w:val="21"/>
                <w:lang w:val="en-US" w:eastAsia="zh-CN" w:bidi="ar-SA"/>
              </w:rPr>
              <w:t>°~</w:t>
            </w:r>
            <w:r>
              <w:rPr>
                <w:rFonts w:hint="eastAsia" w:cs="Times New Roman" w:eastAsiaTheme="minorEastAsia"/>
                <w:bCs/>
                <w:color w:val="auto"/>
                <w:kern w:val="0"/>
                <w:sz w:val="21"/>
                <w:szCs w:val="21"/>
                <w:lang w:val="en-US" w:eastAsia="zh-CN" w:bidi="ar-SA"/>
              </w:rPr>
              <w:t>E</w:t>
            </w:r>
            <w:r>
              <w:rPr>
                <w:rFonts w:hint="eastAsia" w:ascii="Times New Roman" w:hAnsi="Times New Roman" w:cs="Times New Roman" w:eastAsiaTheme="minorEastAsia"/>
                <w:color w:val="auto"/>
                <w:kern w:val="2"/>
                <w:sz w:val="21"/>
                <w:szCs w:val="21"/>
                <w:lang w:val="en-US" w:eastAsia="zh-CN" w:bidi="ar-SA"/>
              </w:rPr>
              <w:t>101.246247</w:t>
            </w:r>
            <w:r>
              <w:rPr>
                <w:rFonts w:hint="eastAsia" w:cs="Times New Roman" w:eastAsiaTheme="minorEastAsia"/>
                <w:color w:val="auto"/>
                <w:kern w:val="2"/>
                <w:sz w:val="21"/>
                <w:szCs w:val="21"/>
                <w:lang w:val="en-US" w:eastAsia="zh-CN" w:bidi="ar-SA"/>
              </w:rPr>
              <w:t>°，</w:t>
            </w:r>
            <w:r>
              <w:rPr>
                <w:rFonts w:hint="eastAsia" w:cs="Times New Roman" w:eastAsiaTheme="minorEastAsia"/>
                <w:bCs/>
                <w:color w:val="auto"/>
                <w:kern w:val="0"/>
                <w:sz w:val="21"/>
                <w:szCs w:val="21"/>
                <w:lang w:val="en-US" w:eastAsia="zh-CN" w:bidi="ar-SA"/>
              </w:rPr>
              <w:t>N</w:t>
            </w:r>
            <w:r>
              <w:rPr>
                <w:rFonts w:hint="eastAsia" w:ascii="Times New Roman" w:hAnsi="Times New Roman" w:cs="Times New Roman" w:eastAsiaTheme="minorEastAsia"/>
                <w:color w:val="auto"/>
                <w:kern w:val="2"/>
                <w:sz w:val="21"/>
                <w:szCs w:val="21"/>
                <w:lang w:val="en-US" w:eastAsia="zh-CN" w:bidi="ar-SA"/>
              </w:rPr>
              <w:t>33.132857</w:t>
            </w:r>
            <w:r>
              <w:rPr>
                <w:rFonts w:hint="eastAsia" w:cs="Times New Roman" w:eastAsiaTheme="minorEastAsia"/>
                <w:color w:val="auto"/>
                <w:kern w:val="2"/>
                <w:sz w:val="21"/>
                <w:szCs w:val="21"/>
                <w:lang w:val="en-US" w:eastAsia="zh-CN" w:bidi="ar-SA"/>
              </w:rPr>
              <w:t>°</w:t>
            </w:r>
          </w:p>
        </w:tc>
        <w:tc>
          <w:tcPr>
            <w:tcW w:w="850" w:type="dxa"/>
            <w:vAlign w:val="center"/>
          </w:tcPr>
          <w:p>
            <w:pPr>
              <w:spacing w:line="240" w:lineRule="auto"/>
              <w:ind w:firstLine="0" w:firstLineChars="0"/>
              <w:jc w:val="center"/>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sz w:val="21"/>
                <w:szCs w:val="21"/>
              </w:rPr>
              <w:t>改建</w:t>
            </w:r>
          </w:p>
        </w:tc>
        <w:tc>
          <w:tcPr>
            <w:tcW w:w="783" w:type="dxa"/>
            <w:vAlign w:val="center"/>
          </w:tcPr>
          <w:p>
            <w:pPr>
              <w:spacing w:line="240" w:lineRule="auto"/>
              <w:ind w:firstLine="0" w:firstLineChars="0"/>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sz w:val="21"/>
                <w:szCs w:val="21"/>
              </w:rPr>
              <w:t>路基</w:t>
            </w:r>
          </w:p>
        </w:tc>
        <w:tc>
          <w:tcPr>
            <w:tcW w:w="943" w:type="dxa"/>
            <w:vAlign w:val="center"/>
          </w:tcPr>
          <w:p>
            <w:pPr>
              <w:spacing w:line="240" w:lineRule="auto"/>
              <w:ind w:firstLine="0" w:firstLineChars="0"/>
              <w:jc w:val="center"/>
              <w:rPr>
                <w:rFonts w:hint="eastAsia" w:ascii="Times New Roman" w:hAnsi="Times New Roman" w:cs="Times New Roman" w:eastAsiaTheme="minorEastAsia"/>
                <w:color w:val="auto"/>
                <w:kern w:val="2"/>
                <w:sz w:val="21"/>
                <w:szCs w:val="21"/>
                <w:lang w:val="en-US" w:eastAsia="zh-CN" w:bidi="ar-SA"/>
              </w:rPr>
            </w:pPr>
            <w:r>
              <w:rPr>
                <w:rFonts w:hint="eastAsia" w:cs="Times New Roman" w:asciiTheme="minorHAnsi" w:hAnsiTheme="minorEastAsia" w:eastAsiaTheme="minorEastAsia"/>
                <w:bCs/>
                <w:color w:val="auto"/>
                <w:kern w:val="0"/>
                <w:sz w:val="21"/>
                <w:szCs w:val="21"/>
                <w:lang w:val="en-US" w:eastAsia="zh-CN"/>
              </w:rPr>
              <w:t>湿地</w:t>
            </w:r>
            <w:r>
              <w:rPr>
                <w:rFonts w:hint="eastAsia" w:cs="Times New Roman" w:asciiTheme="minorHAnsi" w:hAnsiTheme="minorEastAsia" w:eastAsiaTheme="minorEastAsia"/>
                <w:bCs/>
                <w:color w:val="auto"/>
                <w:kern w:val="0"/>
                <w:sz w:val="21"/>
                <w:szCs w:val="21"/>
              </w:rPr>
              <w:t>宣教区</w:t>
            </w:r>
          </w:p>
        </w:tc>
        <w:tc>
          <w:tcPr>
            <w:tcW w:w="896" w:type="dxa"/>
            <w:vAlign w:val="center"/>
          </w:tcPr>
          <w:p>
            <w:pPr>
              <w:widowControl/>
              <w:spacing w:line="240" w:lineRule="auto"/>
              <w:ind w:firstLine="0" w:firstLineChars="0"/>
              <w:jc w:val="center"/>
              <w:rPr>
                <w:rFonts w:hint="eastAsia" w:ascii="Times New Roman" w:hAnsi="Times New Roman" w:cs="Times New Roman" w:eastAsiaTheme="minorEastAsia"/>
                <w:color w:val="auto"/>
                <w:kern w:val="2"/>
                <w:sz w:val="21"/>
                <w:szCs w:val="21"/>
                <w:lang w:val="en-US" w:eastAsia="zh-CN" w:bidi="ar-SA"/>
              </w:rPr>
            </w:pPr>
            <w:r>
              <w:rPr>
                <w:rFonts w:hint="eastAsia" w:cs="Times New Roman" w:eastAsiaTheme="minorEastAsia"/>
                <w:bCs/>
                <w:color w:val="auto"/>
                <w:kern w:val="0"/>
                <w:sz w:val="21"/>
                <w:szCs w:val="21"/>
                <w:lang w:val="en-US" w:eastAsia="zh-CN"/>
              </w:rPr>
              <w:t>975</w:t>
            </w:r>
          </w:p>
        </w:tc>
      </w:tr>
    </w:tbl>
    <w:p>
      <w:pPr>
        <w:pStyle w:val="5"/>
        <w:numPr>
          <w:ilvl w:val="2"/>
          <w:numId w:val="0"/>
        </w:numPr>
        <w:ind w:leftChars="0"/>
        <w:rPr>
          <w:rFonts w:cs="Times New Roman"/>
        </w:rPr>
      </w:pPr>
      <w:r>
        <w:rPr>
          <w:rFonts w:hint="eastAsia" w:cs="Times New Roman"/>
          <w:lang w:val="en-US" w:eastAsia="zh-CN"/>
        </w:rPr>
        <w:t xml:space="preserve">2.2.3 </w:t>
      </w:r>
      <w:r>
        <w:rPr>
          <w:rFonts w:cs="Times New Roman"/>
        </w:rPr>
        <w:t>项目在湿地公园内占地</w:t>
      </w:r>
    </w:p>
    <w:p>
      <w:pPr>
        <w:ind w:firstLine="480"/>
        <w:rPr>
          <w:rFonts w:cs="Times New Roman"/>
        </w:rPr>
      </w:pPr>
      <w:r>
        <w:rPr>
          <w:rFonts w:cs="Times New Roman"/>
        </w:rPr>
        <w:t>根据工程规划线路及林地占用资料，统计本项目在湿地公园内的占地面积如下表</w:t>
      </w:r>
      <w:r>
        <w:rPr>
          <w:rFonts w:hint="eastAsia" w:cs="Times New Roman"/>
          <w:lang w:val="en-US" w:eastAsia="zh-CN"/>
        </w:rPr>
        <w:t>2-8</w:t>
      </w:r>
      <w:r>
        <w:rPr>
          <w:rFonts w:cs="Times New Roman"/>
        </w:rPr>
        <w:t>。</w:t>
      </w:r>
    </w:p>
    <w:p>
      <w:pPr>
        <w:ind w:firstLine="0" w:firstLineChars="0"/>
        <w:jc w:val="center"/>
        <w:rPr>
          <w:rFonts w:cs="Times New Roman"/>
        </w:rPr>
      </w:pPr>
      <w:r>
        <w:rPr>
          <w:rFonts w:cs="Times New Roman"/>
          <w:b/>
        </w:rPr>
        <w:t>表</w:t>
      </w:r>
      <w:r>
        <w:rPr>
          <w:rFonts w:hint="eastAsia" w:cs="Times New Roman"/>
          <w:b/>
          <w:lang w:val="en-US" w:eastAsia="zh-CN"/>
        </w:rPr>
        <w:t>2</w:t>
      </w:r>
      <w:r>
        <w:rPr>
          <w:rFonts w:cs="Times New Roman"/>
          <w:b/>
        </w:rPr>
        <w:t>-</w:t>
      </w:r>
      <w:r>
        <w:rPr>
          <w:rFonts w:hint="eastAsia" w:cs="Times New Roman"/>
          <w:b/>
          <w:lang w:val="en-US" w:eastAsia="zh-CN"/>
        </w:rPr>
        <w:t xml:space="preserve">8 </w:t>
      </w:r>
      <w:r>
        <w:rPr>
          <w:rFonts w:cs="Times New Roman"/>
          <w:b/>
        </w:rPr>
        <w:t>项目在湿地公园内</w:t>
      </w:r>
      <w:r>
        <w:rPr>
          <w:rFonts w:hint="eastAsia" w:cs="Times New Roman"/>
          <w:b/>
        </w:rPr>
        <w:t>占地</w:t>
      </w:r>
      <w:r>
        <w:rPr>
          <w:rFonts w:cs="Times New Roman"/>
          <w:b/>
        </w:rPr>
        <w:t>面积统计表</w:t>
      </w:r>
    </w:p>
    <w:tbl>
      <w:tblPr>
        <w:tblStyle w:val="4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1"/>
        <w:gridCol w:w="1634"/>
        <w:gridCol w:w="773"/>
        <w:gridCol w:w="831"/>
        <w:gridCol w:w="970"/>
        <w:gridCol w:w="1405"/>
        <w:gridCol w:w="12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956" w:type="pct"/>
            <w:vMerge w:val="restart"/>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r>
              <w:rPr>
                <w:rFonts w:hint="eastAsia" w:cs="Times New Roman" w:eastAsiaTheme="minorEastAsia"/>
                <w:b/>
                <w:kern w:val="0"/>
                <w:sz w:val="21"/>
                <w:szCs w:val="21"/>
                <w:lang w:val="en-US" w:eastAsia="zh-CN"/>
              </w:rPr>
              <w:t>占</w:t>
            </w:r>
            <w:r>
              <w:rPr>
                <w:rFonts w:ascii="Times New Roman" w:hAnsi="Times New Roman" w:cs="Times New Roman" w:eastAsiaTheme="minorEastAsia"/>
                <w:b/>
                <w:kern w:val="0"/>
                <w:sz w:val="21"/>
                <w:szCs w:val="21"/>
              </w:rPr>
              <w:t>地性质</w:t>
            </w:r>
          </w:p>
        </w:tc>
        <w:tc>
          <w:tcPr>
            <w:tcW w:w="958" w:type="pct"/>
            <w:vMerge w:val="restart"/>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r>
              <w:rPr>
                <w:rFonts w:ascii="Times New Roman" w:hAnsi="Times New Roman" w:cs="Times New Roman" w:eastAsiaTheme="minorEastAsia"/>
                <w:b/>
                <w:kern w:val="0"/>
                <w:sz w:val="21"/>
                <w:szCs w:val="21"/>
              </w:rPr>
              <w:t>建设项目</w:t>
            </w:r>
          </w:p>
        </w:tc>
        <w:tc>
          <w:tcPr>
            <w:tcW w:w="1509" w:type="pct"/>
            <w:gridSpan w:val="3"/>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r>
              <w:rPr>
                <w:rFonts w:hint="eastAsia" w:cs="Times New Roman" w:eastAsiaTheme="minorEastAsia"/>
                <w:b/>
                <w:kern w:val="0"/>
                <w:sz w:val="21"/>
                <w:szCs w:val="21"/>
                <w:lang w:val="en-US" w:eastAsia="zh-CN"/>
              </w:rPr>
              <w:t>占地</w:t>
            </w:r>
            <w:r>
              <w:rPr>
                <w:rFonts w:ascii="Times New Roman" w:hAnsi="Times New Roman" w:cs="Times New Roman" w:eastAsiaTheme="minorEastAsia"/>
                <w:b/>
                <w:kern w:val="0"/>
                <w:sz w:val="21"/>
                <w:szCs w:val="21"/>
              </w:rPr>
              <w:t>面积(hm</w:t>
            </w:r>
            <w:r>
              <w:rPr>
                <w:rFonts w:ascii="Times New Roman" w:hAnsi="Times New Roman" w:cs="Times New Roman" w:eastAsiaTheme="minorEastAsia"/>
                <w:b/>
                <w:kern w:val="0"/>
                <w:sz w:val="21"/>
                <w:szCs w:val="21"/>
                <w:vertAlign w:val="superscript"/>
              </w:rPr>
              <w:t>2</w:t>
            </w:r>
            <w:r>
              <w:rPr>
                <w:rFonts w:ascii="Times New Roman" w:hAnsi="Times New Roman" w:cs="Times New Roman" w:eastAsiaTheme="minorEastAsia"/>
                <w:b/>
                <w:kern w:val="0"/>
                <w:sz w:val="21"/>
                <w:szCs w:val="21"/>
              </w:rPr>
              <w:t>)</w:t>
            </w:r>
          </w:p>
        </w:tc>
        <w:tc>
          <w:tcPr>
            <w:tcW w:w="824" w:type="pct"/>
            <w:vMerge w:val="restart"/>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r>
              <w:rPr>
                <w:rFonts w:hint="eastAsia" w:ascii="Times New Roman" w:hAnsi="Times New Roman" w:cs="Times New Roman" w:eastAsiaTheme="minorEastAsia"/>
                <w:b/>
                <w:kern w:val="0"/>
                <w:sz w:val="21"/>
                <w:szCs w:val="21"/>
              </w:rPr>
              <w:t>占地</w:t>
            </w:r>
            <w:r>
              <w:rPr>
                <w:rFonts w:ascii="Times New Roman" w:hAnsi="Times New Roman" w:cs="Times New Roman" w:eastAsiaTheme="minorEastAsia"/>
                <w:b/>
                <w:kern w:val="0"/>
                <w:sz w:val="21"/>
                <w:szCs w:val="21"/>
              </w:rPr>
              <w:t>类型</w:t>
            </w:r>
          </w:p>
        </w:tc>
        <w:tc>
          <w:tcPr>
            <w:tcW w:w="751" w:type="pct"/>
            <w:vMerge w:val="restart"/>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r>
              <w:rPr>
                <w:rFonts w:ascii="Times New Roman" w:hAnsi="Times New Roman" w:cs="Times New Roman" w:eastAsiaTheme="minorEastAsia"/>
                <w:b/>
                <w:kern w:val="0"/>
                <w:sz w:val="21"/>
                <w:szCs w:val="21"/>
              </w:rPr>
              <w:t>功能分区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956" w:type="pct"/>
            <w:vMerge w:val="continue"/>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p>
        </w:tc>
        <w:tc>
          <w:tcPr>
            <w:tcW w:w="958" w:type="pct"/>
            <w:vMerge w:val="continue"/>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p>
        </w:tc>
        <w:tc>
          <w:tcPr>
            <w:tcW w:w="453" w:type="pct"/>
            <w:vAlign w:val="center"/>
          </w:tcPr>
          <w:p>
            <w:pPr>
              <w:widowControl/>
              <w:spacing w:line="240" w:lineRule="auto"/>
              <w:ind w:firstLine="0" w:firstLineChars="0"/>
              <w:jc w:val="center"/>
              <w:rPr>
                <w:rFonts w:hint="eastAsia" w:ascii="Times New Roman" w:hAnsi="Times New Roman" w:cs="Times New Roman" w:eastAsiaTheme="minorEastAsia"/>
                <w:b/>
                <w:kern w:val="0"/>
                <w:sz w:val="21"/>
                <w:szCs w:val="21"/>
                <w:lang w:val="en-US" w:eastAsia="zh-CN"/>
              </w:rPr>
            </w:pPr>
            <w:r>
              <w:rPr>
                <w:rFonts w:hint="eastAsia" w:cs="Times New Roman" w:eastAsiaTheme="minorEastAsia"/>
                <w:b/>
                <w:kern w:val="0"/>
                <w:sz w:val="21"/>
                <w:szCs w:val="21"/>
                <w:lang w:val="en-US" w:eastAsia="zh-CN"/>
              </w:rPr>
              <w:t>旧路</w:t>
            </w:r>
          </w:p>
        </w:tc>
        <w:tc>
          <w:tcPr>
            <w:tcW w:w="487" w:type="pct"/>
            <w:vAlign w:val="center"/>
          </w:tcPr>
          <w:p>
            <w:pPr>
              <w:widowControl/>
              <w:spacing w:line="240" w:lineRule="auto"/>
              <w:ind w:firstLine="0" w:firstLineChars="0"/>
              <w:jc w:val="center"/>
              <w:rPr>
                <w:rFonts w:hint="eastAsia" w:ascii="Times New Roman" w:hAnsi="Times New Roman" w:cs="Times New Roman" w:eastAsiaTheme="minorEastAsia"/>
                <w:b/>
                <w:kern w:val="0"/>
                <w:sz w:val="21"/>
                <w:szCs w:val="21"/>
                <w:lang w:val="en-US" w:eastAsia="zh-CN"/>
              </w:rPr>
            </w:pPr>
            <w:r>
              <w:rPr>
                <w:rFonts w:hint="eastAsia" w:cs="Times New Roman" w:eastAsiaTheme="minorEastAsia"/>
                <w:b/>
                <w:kern w:val="0"/>
                <w:sz w:val="21"/>
                <w:szCs w:val="21"/>
                <w:lang w:val="en-US" w:eastAsia="zh-CN"/>
              </w:rPr>
              <w:t>新增</w:t>
            </w:r>
          </w:p>
        </w:tc>
        <w:tc>
          <w:tcPr>
            <w:tcW w:w="568" w:type="pct"/>
            <w:vAlign w:val="center"/>
          </w:tcPr>
          <w:p>
            <w:pPr>
              <w:widowControl/>
              <w:spacing w:line="240" w:lineRule="auto"/>
              <w:ind w:firstLine="0" w:firstLineChars="0"/>
              <w:jc w:val="center"/>
              <w:rPr>
                <w:rFonts w:hint="eastAsia" w:ascii="Times New Roman" w:hAnsi="Times New Roman" w:cs="Times New Roman" w:eastAsiaTheme="minorEastAsia"/>
                <w:b/>
                <w:kern w:val="0"/>
                <w:sz w:val="21"/>
                <w:szCs w:val="21"/>
                <w:lang w:val="en-US" w:eastAsia="zh-CN"/>
              </w:rPr>
            </w:pPr>
            <w:r>
              <w:rPr>
                <w:rFonts w:hint="eastAsia" w:cs="Times New Roman" w:eastAsiaTheme="minorEastAsia"/>
                <w:b/>
                <w:kern w:val="0"/>
                <w:sz w:val="21"/>
                <w:szCs w:val="21"/>
                <w:lang w:val="en-US" w:eastAsia="zh-CN"/>
              </w:rPr>
              <w:t>小计</w:t>
            </w:r>
          </w:p>
        </w:tc>
        <w:tc>
          <w:tcPr>
            <w:tcW w:w="824" w:type="pct"/>
            <w:vMerge w:val="continue"/>
            <w:vAlign w:val="center"/>
          </w:tcPr>
          <w:p>
            <w:pPr>
              <w:widowControl/>
              <w:spacing w:line="240" w:lineRule="auto"/>
              <w:ind w:firstLine="0" w:firstLineChars="0"/>
              <w:jc w:val="center"/>
              <w:rPr>
                <w:rFonts w:hint="eastAsia" w:ascii="Times New Roman" w:hAnsi="Times New Roman" w:cs="Times New Roman" w:eastAsiaTheme="minorEastAsia"/>
                <w:b/>
                <w:kern w:val="0"/>
                <w:sz w:val="21"/>
                <w:szCs w:val="21"/>
              </w:rPr>
            </w:pPr>
          </w:p>
        </w:tc>
        <w:tc>
          <w:tcPr>
            <w:tcW w:w="751" w:type="pct"/>
            <w:vMerge w:val="continue"/>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6" w:type="pct"/>
            <w:vMerge w:val="restart"/>
            <w:vAlign w:val="center"/>
          </w:tcPr>
          <w:p>
            <w:pPr>
              <w:ind w:firstLine="0" w:firstLineChars="0"/>
              <w:jc w:val="center"/>
              <w:rPr>
                <w:rFonts w:ascii="Times New Roman" w:hAnsi="Times New Roman" w:cs="Times New Roman" w:eastAsiaTheme="minorEastAsia"/>
              </w:rPr>
            </w:pPr>
            <w:r>
              <w:rPr>
                <w:rFonts w:ascii="Times New Roman" w:hAnsi="Times New Roman" w:cs="Times New Roman" w:eastAsiaTheme="minorEastAsia"/>
                <w:kern w:val="0"/>
                <w:sz w:val="21"/>
                <w:szCs w:val="21"/>
              </w:rPr>
              <w:t>永久</w:t>
            </w:r>
            <w:r>
              <w:rPr>
                <w:rFonts w:hint="eastAsia" w:cs="Times New Roman" w:eastAsiaTheme="minorEastAsia"/>
                <w:kern w:val="0"/>
                <w:sz w:val="21"/>
                <w:szCs w:val="21"/>
                <w:lang w:val="en-US" w:eastAsia="zh-CN"/>
              </w:rPr>
              <w:t>占</w:t>
            </w:r>
            <w:r>
              <w:rPr>
                <w:rFonts w:ascii="Times New Roman" w:hAnsi="Times New Roman" w:cs="Times New Roman" w:eastAsiaTheme="minorEastAsia"/>
                <w:kern w:val="0"/>
                <w:sz w:val="21"/>
                <w:szCs w:val="21"/>
              </w:rPr>
              <w:t>地</w:t>
            </w:r>
          </w:p>
        </w:tc>
        <w:tc>
          <w:tcPr>
            <w:tcW w:w="958" w:type="pct"/>
            <w:vAlign w:val="center"/>
          </w:tcPr>
          <w:p>
            <w:pPr>
              <w:widowControl/>
              <w:spacing w:line="240" w:lineRule="auto"/>
              <w:ind w:firstLine="0" w:firstLineChars="0"/>
              <w:jc w:val="center"/>
              <w:rPr>
                <w:rFonts w:ascii="Times New Roman" w:hAnsi="Times New Roman" w:cs="Times New Roman" w:eastAsiaTheme="minorEastAsia"/>
                <w:kern w:val="0"/>
                <w:sz w:val="21"/>
                <w:szCs w:val="21"/>
              </w:rPr>
            </w:pPr>
            <w:r>
              <w:rPr>
                <w:rFonts w:ascii="Times New Roman" w:hAnsi="Times New Roman" w:cs="Times New Roman" w:eastAsiaTheme="minorEastAsia"/>
                <w:kern w:val="0"/>
                <w:sz w:val="21"/>
                <w:szCs w:val="21"/>
              </w:rPr>
              <w:t>路基</w:t>
            </w:r>
          </w:p>
        </w:tc>
        <w:tc>
          <w:tcPr>
            <w:tcW w:w="453" w:type="pct"/>
            <w:vAlign w:val="center"/>
          </w:tcPr>
          <w:p>
            <w:pPr>
              <w:widowControl/>
              <w:spacing w:line="240" w:lineRule="auto"/>
              <w:ind w:firstLine="0" w:firstLineChars="0"/>
              <w:jc w:val="center"/>
              <w:rPr>
                <w:rFonts w:hint="default" w:ascii="Times New Roman" w:hAnsi="Times New Roman" w:cs="Times New Roman" w:eastAsiaTheme="minorEastAsia"/>
                <w:kern w:val="0"/>
                <w:sz w:val="21"/>
                <w:szCs w:val="21"/>
                <w:lang w:val="en-US" w:eastAsia="zh-CN"/>
              </w:rPr>
            </w:pPr>
            <w:r>
              <w:rPr>
                <w:rFonts w:hint="eastAsia" w:ascii="Times New Roman" w:hAnsi="Times New Roman" w:cs="Times New Roman" w:eastAsiaTheme="minorEastAsia"/>
                <w:kern w:val="0"/>
                <w:sz w:val="21"/>
                <w:szCs w:val="21"/>
                <w:lang w:val="en-US" w:eastAsia="zh-CN"/>
              </w:rPr>
              <w:t>0.56</w:t>
            </w:r>
          </w:p>
        </w:tc>
        <w:tc>
          <w:tcPr>
            <w:tcW w:w="487" w:type="pct"/>
            <w:vAlign w:val="center"/>
          </w:tcPr>
          <w:p>
            <w:pPr>
              <w:widowControl/>
              <w:spacing w:line="240" w:lineRule="auto"/>
              <w:ind w:firstLine="0" w:firstLineChars="0"/>
              <w:jc w:val="center"/>
              <w:rPr>
                <w:rFonts w:hint="eastAsia" w:ascii="Times New Roman" w:hAnsi="Times New Roman" w:cs="Times New Roman" w:eastAsiaTheme="minorEastAsia"/>
                <w:kern w:val="0"/>
                <w:sz w:val="21"/>
                <w:szCs w:val="21"/>
                <w:lang w:val="en-US" w:eastAsia="zh-CN"/>
              </w:rPr>
            </w:pPr>
          </w:p>
        </w:tc>
        <w:tc>
          <w:tcPr>
            <w:tcW w:w="568" w:type="pct"/>
            <w:vAlign w:val="center"/>
          </w:tcPr>
          <w:p>
            <w:pPr>
              <w:widowControl/>
              <w:spacing w:line="240" w:lineRule="auto"/>
              <w:ind w:firstLine="0" w:firstLineChars="0"/>
              <w:jc w:val="center"/>
              <w:rPr>
                <w:rFonts w:hint="eastAsia" w:ascii="Times New Roman" w:hAnsi="Times New Roman" w:cs="Times New Roman" w:eastAsiaTheme="minorEastAsia"/>
                <w:kern w:val="0"/>
                <w:sz w:val="21"/>
                <w:szCs w:val="21"/>
                <w:lang w:val="en-US" w:eastAsia="zh-CN"/>
              </w:rPr>
            </w:pPr>
            <w:r>
              <w:rPr>
                <w:rFonts w:hint="eastAsia" w:ascii="Times New Roman" w:hAnsi="Times New Roman" w:cs="Times New Roman" w:eastAsiaTheme="minorEastAsia"/>
                <w:kern w:val="0"/>
                <w:sz w:val="21"/>
                <w:szCs w:val="21"/>
                <w:lang w:val="en-US" w:eastAsia="zh-CN"/>
              </w:rPr>
              <w:t>0.56</w:t>
            </w:r>
          </w:p>
        </w:tc>
        <w:tc>
          <w:tcPr>
            <w:tcW w:w="824" w:type="pct"/>
            <w:vAlign w:val="center"/>
          </w:tcPr>
          <w:p>
            <w:pPr>
              <w:widowControl/>
              <w:spacing w:line="240" w:lineRule="auto"/>
              <w:ind w:firstLine="0" w:firstLineChars="0"/>
              <w:jc w:val="center"/>
              <w:rPr>
                <w:rFonts w:hint="eastAsia" w:ascii="Times New Roman" w:hAnsi="Times New Roman" w:cs="Times New Roman" w:eastAsiaTheme="minorEastAsia"/>
                <w:kern w:val="0"/>
                <w:sz w:val="21"/>
                <w:szCs w:val="21"/>
                <w:lang w:val="en-US" w:eastAsia="zh-CN"/>
              </w:rPr>
            </w:pPr>
            <w:r>
              <w:rPr>
                <w:rFonts w:hint="eastAsia" w:ascii="Times New Roman" w:hAnsi="Times New Roman" w:cs="Times New Roman" w:eastAsiaTheme="minorEastAsia"/>
                <w:kern w:val="0"/>
                <w:sz w:val="21"/>
                <w:szCs w:val="21"/>
                <w:lang w:val="en-US" w:eastAsia="zh-CN"/>
              </w:rPr>
              <w:t>公路用地</w:t>
            </w:r>
          </w:p>
        </w:tc>
        <w:tc>
          <w:tcPr>
            <w:tcW w:w="751" w:type="pct"/>
            <w:vMerge w:val="restart"/>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r>
              <w:rPr>
                <w:rFonts w:hint="eastAsia" w:cs="Times New Roman" w:asciiTheme="minorHAnsi" w:hAnsiTheme="minorEastAsia" w:eastAsiaTheme="minorEastAsia"/>
                <w:bCs/>
                <w:kern w:val="0"/>
                <w:sz w:val="21"/>
                <w:szCs w:val="21"/>
                <w:lang w:val="en-US" w:eastAsia="zh-CN"/>
              </w:rPr>
              <w:t>湿地宣教区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6" w:type="pct"/>
            <w:vMerge w:val="continue"/>
            <w:vAlign w:val="center"/>
          </w:tcPr>
          <w:p>
            <w:pPr>
              <w:ind w:firstLine="0" w:firstLineChars="0"/>
              <w:jc w:val="center"/>
              <w:rPr>
                <w:rFonts w:cs="Times New Roman" w:asciiTheme="minorHAnsi" w:hAnsiTheme="minorHAnsi" w:eastAsiaTheme="minorEastAsia"/>
                <w:kern w:val="0"/>
                <w:sz w:val="21"/>
                <w:szCs w:val="21"/>
              </w:rPr>
            </w:pPr>
          </w:p>
        </w:tc>
        <w:tc>
          <w:tcPr>
            <w:tcW w:w="958" w:type="pct"/>
            <w:vAlign w:val="center"/>
          </w:tcPr>
          <w:p>
            <w:pPr>
              <w:widowControl/>
              <w:spacing w:line="240" w:lineRule="auto"/>
              <w:ind w:firstLine="0" w:firstLineChars="0"/>
              <w:jc w:val="center"/>
              <w:rPr>
                <w:rFonts w:cs="Times New Roman" w:asciiTheme="minorHAnsi" w:hAnsiTheme="minorHAnsi" w:eastAsiaTheme="minorEastAsia"/>
                <w:kern w:val="0"/>
                <w:sz w:val="21"/>
                <w:szCs w:val="21"/>
              </w:rPr>
            </w:pPr>
            <w:r>
              <w:rPr>
                <w:rFonts w:ascii="Times New Roman" w:hAnsi="Times New Roman" w:cs="Times New Roman" w:eastAsiaTheme="minorEastAsia"/>
                <w:kern w:val="0"/>
                <w:sz w:val="21"/>
                <w:szCs w:val="21"/>
              </w:rPr>
              <w:t>路基</w:t>
            </w:r>
          </w:p>
        </w:tc>
        <w:tc>
          <w:tcPr>
            <w:tcW w:w="453" w:type="pct"/>
            <w:vAlign w:val="center"/>
          </w:tcPr>
          <w:p>
            <w:pPr>
              <w:widowControl/>
              <w:spacing w:line="240" w:lineRule="auto"/>
              <w:ind w:firstLine="0" w:firstLineChars="0"/>
              <w:jc w:val="center"/>
              <w:rPr>
                <w:rFonts w:hint="default" w:ascii="Times New Roman" w:hAnsi="Times New Roman" w:cs="Times New Roman" w:eastAsiaTheme="minorEastAsia"/>
                <w:kern w:val="0"/>
                <w:sz w:val="21"/>
                <w:szCs w:val="21"/>
                <w:lang w:val="en-US" w:eastAsia="zh-CN"/>
              </w:rPr>
            </w:pPr>
          </w:p>
        </w:tc>
        <w:tc>
          <w:tcPr>
            <w:tcW w:w="487" w:type="pct"/>
            <w:vAlign w:val="center"/>
          </w:tcPr>
          <w:p>
            <w:pPr>
              <w:widowControl/>
              <w:spacing w:line="240" w:lineRule="auto"/>
              <w:ind w:firstLine="0" w:firstLineChars="0"/>
              <w:jc w:val="center"/>
              <w:rPr>
                <w:rFonts w:hint="eastAsia" w:ascii="Times New Roman" w:hAnsi="Times New Roman" w:cs="Times New Roman" w:eastAsiaTheme="minorEastAsia"/>
                <w:kern w:val="0"/>
                <w:sz w:val="21"/>
                <w:szCs w:val="21"/>
                <w:lang w:val="en-US" w:eastAsia="zh-CN"/>
              </w:rPr>
            </w:pPr>
            <w:r>
              <w:rPr>
                <w:rFonts w:hint="eastAsia" w:ascii="Times New Roman" w:hAnsi="Times New Roman" w:cs="Times New Roman" w:eastAsiaTheme="minorEastAsia"/>
                <w:kern w:val="0"/>
                <w:sz w:val="21"/>
                <w:szCs w:val="21"/>
                <w:lang w:val="en-US" w:eastAsia="zh-CN"/>
              </w:rPr>
              <w:t>0.01</w:t>
            </w:r>
          </w:p>
        </w:tc>
        <w:tc>
          <w:tcPr>
            <w:tcW w:w="568" w:type="pct"/>
            <w:vAlign w:val="center"/>
          </w:tcPr>
          <w:p>
            <w:pPr>
              <w:widowControl/>
              <w:spacing w:line="240" w:lineRule="auto"/>
              <w:ind w:firstLine="0" w:firstLineChars="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eastAsiaTheme="minorEastAsia"/>
                <w:kern w:val="0"/>
                <w:sz w:val="21"/>
                <w:szCs w:val="21"/>
                <w:lang w:val="en-US" w:eastAsia="zh-CN"/>
              </w:rPr>
              <w:t>0.01</w:t>
            </w:r>
          </w:p>
        </w:tc>
        <w:tc>
          <w:tcPr>
            <w:tcW w:w="824" w:type="pct"/>
            <w:vAlign w:val="center"/>
          </w:tcPr>
          <w:p>
            <w:pPr>
              <w:widowControl/>
              <w:spacing w:line="240" w:lineRule="auto"/>
              <w:ind w:firstLine="0" w:firstLineChars="0"/>
              <w:jc w:val="center"/>
              <w:rPr>
                <w:rFonts w:hint="default" w:ascii="Times New Roman" w:hAnsi="Times New Roman" w:cs="Times New Roman" w:eastAsiaTheme="minorEastAsia"/>
                <w:kern w:val="0"/>
                <w:sz w:val="21"/>
                <w:szCs w:val="21"/>
                <w:lang w:val="en-US" w:eastAsia="zh-CN"/>
              </w:rPr>
            </w:pPr>
            <w:r>
              <w:rPr>
                <w:rFonts w:hint="eastAsia" w:ascii="Times New Roman" w:hAnsi="Times New Roman" w:cs="Times New Roman" w:eastAsiaTheme="minorEastAsia"/>
                <w:kern w:val="0"/>
                <w:sz w:val="21"/>
                <w:szCs w:val="21"/>
                <w:lang w:val="en-US" w:eastAsia="zh-CN"/>
              </w:rPr>
              <w:t>灌木林地</w:t>
            </w:r>
          </w:p>
        </w:tc>
        <w:tc>
          <w:tcPr>
            <w:tcW w:w="751" w:type="pct"/>
            <w:vMerge w:val="continue"/>
            <w:vAlign w:val="center"/>
          </w:tcPr>
          <w:p>
            <w:pPr>
              <w:widowControl/>
              <w:spacing w:line="240" w:lineRule="auto"/>
              <w:ind w:firstLine="0" w:firstLineChars="0"/>
              <w:jc w:val="center"/>
              <w:rPr>
                <w:rFonts w:hint="eastAsia" w:cs="Times New Roman" w:asciiTheme="minorHAnsi" w:hAnsiTheme="minorEastAsia" w:eastAsiaTheme="minorEastAsia"/>
                <w:bCs/>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6" w:type="pct"/>
            <w:vMerge w:val="continue"/>
          </w:tcPr>
          <w:p>
            <w:pPr>
              <w:ind w:firstLine="0" w:firstLineChars="0"/>
              <w:rPr>
                <w:rFonts w:ascii="Times New Roman" w:hAnsi="Times New Roman" w:cs="Times New Roman" w:eastAsiaTheme="minorEastAsia"/>
              </w:rPr>
            </w:pPr>
          </w:p>
        </w:tc>
        <w:tc>
          <w:tcPr>
            <w:tcW w:w="958" w:type="pct"/>
            <w:vAlign w:val="center"/>
          </w:tcPr>
          <w:p>
            <w:pPr>
              <w:widowControl/>
              <w:spacing w:line="240" w:lineRule="auto"/>
              <w:ind w:firstLine="0" w:firstLineChars="0"/>
              <w:jc w:val="center"/>
              <w:rPr>
                <w:rFonts w:ascii="Times New Roman" w:hAnsi="Times New Roman" w:cs="Times New Roman" w:eastAsiaTheme="minorEastAsia"/>
                <w:kern w:val="0"/>
                <w:sz w:val="21"/>
                <w:szCs w:val="21"/>
              </w:rPr>
            </w:pPr>
            <w:r>
              <w:rPr>
                <w:rFonts w:ascii="Times New Roman" w:hAnsi="Times New Roman" w:cs="Times New Roman" w:eastAsiaTheme="minorEastAsia"/>
                <w:kern w:val="0"/>
                <w:sz w:val="21"/>
                <w:szCs w:val="21"/>
              </w:rPr>
              <w:t>路基</w:t>
            </w:r>
          </w:p>
        </w:tc>
        <w:tc>
          <w:tcPr>
            <w:tcW w:w="453" w:type="pct"/>
            <w:vAlign w:val="center"/>
          </w:tcPr>
          <w:p>
            <w:pPr>
              <w:widowControl/>
              <w:spacing w:line="240" w:lineRule="auto"/>
              <w:ind w:firstLine="0" w:firstLineChars="0"/>
              <w:jc w:val="center"/>
              <w:rPr>
                <w:rFonts w:hint="default" w:ascii="Times New Roman" w:hAnsi="Times New Roman" w:cs="Times New Roman" w:eastAsiaTheme="minorEastAsia"/>
                <w:kern w:val="0"/>
                <w:sz w:val="21"/>
                <w:szCs w:val="21"/>
                <w:lang w:val="en-US" w:eastAsia="zh-CN"/>
              </w:rPr>
            </w:pPr>
          </w:p>
        </w:tc>
        <w:tc>
          <w:tcPr>
            <w:tcW w:w="487" w:type="pct"/>
            <w:vAlign w:val="center"/>
          </w:tcPr>
          <w:p>
            <w:pPr>
              <w:widowControl/>
              <w:spacing w:line="240" w:lineRule="auto"/>
              <w:ind w:firstLine="0" w:firstLineChars="0"/>
              <w:jc w:val="center"/>
              <w:rPr>
                <w:rFonts w:hint="eastAsia" w:ascii="Times New Roman" w:hAnsi="Times New Roman" w:cs="Times New Roman" w:eastAsiaTheme="minorEastAsia"/>
                <w:kern w:val="0"/>
                <w:sz w:val="21"/>
                <w:szCs w:val="21"/>
                <w:lang w:val="en-US" w:eastAsia="zh-CN"/>
              </w:rPr>
            </w:pPr>
            <w:r>
              <w:rPr>
                <w:rFonts w:hint="eastAsia" w:ascii="Times New Roman" w:hAnsi="Times New Roman" w:cs="Times New Roman" w:eastAsiaTheme="minorEastAsia"/>
                <w:kern w:val="0"/>
                <w:sz w:val="21"/>
                <w:szCs w:val="21"/>
                <w:lang w:val="en-US" w:eastAsia="zh-CN"/>
              </w:rPr>
              <w:t>0.06</w:t>
            </w:r>
          </w:p>
        </w:tc>
        <w:tc>
          <w:tcPr>
            <w:tcW w:w="568" w:type="pct"/>
            <w:vAlign w:val="center"/>
          </w:tcPr>
          <w:p>
            <w:pPr>
              <w:widowControl/>
              <w:spacing w:line="240" w:lineRule="auto"/>
              <w:ind w:firstLine="0" w:firstLineChars="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eastAsiaTheme="minorEastAsia"/>
                <w:kern w:val="0"/>
                <w:sz w:val="21"/>
                <w:szCs w:val="21"/>
                <w:lang w:val="en-US" w:eastAsia="zh-CN"/>
              </w:rPr>
              <w:t>0.06</w:t>
            </w:r>
          </w:p>
        </w:tc>
        <w:tc>
          <w:tcPr>
            <w:tcW w:w="824" w:type="pct"/>
            <w:vAlign w:val="center"/>
          </w:tcPr>
          <w:p>
            <w:pPr>
              <w:widowControl/>
              <w:spacing w:line="240" w:lineRule="auto"/>
              <w:ind w:firstLine="0" w:firstLineChars="0"/>
              <w:jc w:val="center"/>
              <w:rPr>
                <w:rFonts w:hint="default" w:ascii="Times New Roman" w:hAnsi="Times New Roman" w:cs="Times New Roman" w:eastAsiaTheme="minorEastAsia"/>
                <w:kern w:val="0"/>
                <w:sz w:val="21"/>
                <w:szCs w:val="21"/>
                <w:lang w:val="en-US" w:eastAsia="zh-CN"/>
              </w:rPr>
            </w:pPr>
            <w:r>
              <w:rPr>
                <w:rFonts w:hint="eastAsia" w:ascii="Times New Roman" w:hAnsi="Times New Roman" w:cs="Times New Roman" w:eastAsiaTheme="minorEastAsia"/>
                <w:kern w:val="0"/>
                <w:sz w:val="21"/>
                <w:szCs w:val="21"/>
                <w:lang w:val="en-US" w:eastAsia="zh-CN"/>
              </w:rPr>
              <w:t>湿地</w:t>
            </w:r>
          </w:p>
        </w:tc>
        <w:tc>
          <w:tcPr>
            <w:tcW w:w="751" w:type="pct"/>
            <w:vMerge w:val="continue"/>
            <w:vAlign w:val="center"/>
          </w:tcPr>
          <w:p>
            <w:pPr>
              <w:widowControl/>
              <w:spacing w:line="240" w:lineRule="auto"/>
              <w:ind w:firstLine="0" w:firstLineChars="0"/>
              <w:jc w:val="center"/>
              <w:rPr>
                <w:rFonts w:hint="eastAsia" w:cs="Times New Roman" w:asciiTheme="minorHAnsi" w:hAnsiTheme="minorEastAsia" w:eastAsiaTheme="minorEastAsia"/>
                <w:bCs/>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956" w:type="pct"/>
            <w:vMerge w:val="continue"/>
          </w:tcPr>
          <w:p>
            <w:pPr>
              <w:ind w:firstLine="0" w:firstLineChars="0"/>
              <w:jc w:val="center"/>
              <w:rPr>
                <w:rFonts w:ascii="Times New Roman" w:cs="Times New Roman" w:hAnsiTheme="minorHAnsi" w:eastAsiaTheme="minorEastAsia"/>
                <w:b/>
                <w:sz w:val="21"/>
                <w:szCs w:val="21"/>
              </w:rPr>
            </w:pPr>
          </w:p>
        </w:tc>
        <w:tc>
          <w:tcPr>
            <w:tcW w:w="958" w:type="pct"/>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r>
              <w:rPr>
                <w:rFonts w:ascii="Times New Roman" w:hAnsi="Times New Roman" w:cs="Times New Roman" w:eastAsiaTheme="minorEastAsia"/>
                <w:kern w:val="0"/>
                <w:sz w:val="21"/>
                <w:szCs w:val="21"/>
              </w:rPr>
              <w:t>路基</w:t>
            </w:r>
          </w:p>
        </w:tc>
        <w:tc>
          <w:tcPr>
            <w:tcW w:w="453" w:type="pct"/>
            <w:vAlign w:val="center"/>
          </w:tcPr>
          <w:p>
            <w:pPr>
              <w:widowControl/>
              <w:spacing w:line="240" w:lineRule="auto"/>
              <w:ind w:firstLine="0" w:firstLineChars="0"/>
              <w:jc w:val="center"/>
              <w:rPr>
                <w:rFonts w:hint="default" w:ascii="Times New Roman" w:hAnsi="Times New Roman" w:cs="Times New Roman" w:eastAsiaTheme="minorEastAsia"/>
                <w:kern w:val="0"/>
                <w:sz w:val="21"/>
                <w:szCs w:val="21"/>
                <w:lang w:val="en-US" w:eastAsia="zh-CN"/>
              </w:rPr>
            </w:pPr>
          </w:p>
        </w:tc>
        <w:tc>
          <w:tcPr>
            <w:tcW w:w="487" w:type="pct"/>
            <w:vAlign w:val="center"/>
          </w:tcPr>
          <w:p>
            <w:pPr>
              <w:widowControl/>
              <w:spacing w:line="240" w:lineRule="auto"/>
              <w:ind w:firstLine="0" w:firstLineChars="0"/>
              <w:jc w:val="center"/>
              <w:rPr>
                <w:rFonts w:hint="eastAsia" w:ascii="Times New Roman" w:hAnsi="Times New Roman" w:cs="Times New Roman" w:eastAsiaTheme="minorEastAsia"/>
                <w:kern w:val="0"/>
                <w:sz w:val="21"/>
                <w:szCs w:val="21"/>
                <w:lang w:val="en-US" w:eastAsia="zh-CN"/>
              </w:rPr>
            </w:pPr>
            <w:r>
              <w:rPr>
                <w:rFonts w:hint="eastAsia" w:ascii="Times New Roman" w:hAnsi="Times New Roman" w:cs="Times New Roman" w:eastAsiaTheme="minorEastAsia"/>
                <w:kern w:val="0"/>
                <w:sz w:val="21"/>
                <w:szCs w:val="21"/>
                <w:lang w:val="en-US" w:eastAsia="zh-CN"/>
              </w:rPr>
              <w:t>0.10</w:t>
            </w:r>
          </w:p>
        </w:tc>
        <w:tc>
          <w:tcPr>
            <w:tcW w:w="568" w:type="pct"/>
            <w:vAlign w:val="center"/>
          </w:tcPr>
          <w:p>
            <w:pPr>
              <w:widowControl/>
              <w:spacing w:line="240" w:lineRule="auto"/>
              <w:ind w:firstLine="0" w:firstLineChars="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eastAsiaTheme="minorEastAsia"/>
                <w:kern w:val="0"/>
                <w:sz w:val="21"/>
                <w:szCs w:val="21"/>
                <w:lang w:val="en-US" w:eastAsia="zh-CN"/>
              </w:rPr>
              <w:t>0.10</w:t>
            </w:r>
          </w:p>
        </w:tc>
        <w:tc>
          <w:tcPr>
            <w:tcW w:w="824" w:type="pct"/>
            <w:vAlign w:val="center"/>
          </w:tcPr>
          <w:p>
            <w:pPr>
              <w:widowControl/>
              <w:spacing w:line="240" w:lineRule="auto"/>
              <w:ind w:firstLine="0" w:firstLineChars="0"/>
              <w:jc w:val="center"/>
              <w:rPr>
                <w:rFonts w:hint="eastAsia" w:ascii="Times New Roman" w:hAnsi="Times New Roman" w:cs="Times New Roman" w:eastAsiaTheme="minorEastAsia"/>
                <w:kern w:val="0"/>
                <w:sz w:val="21"/>
                <w:szCs w:val="21"/>
                <w:lang w:val="en-US" w:eastAsia="zh-CN"/>
              </w:rPr>
            </w:pPr>
            <w:r>
              <w:rPr>
                <w:rFonts w:hint="eastAsia" w:ascii="Times New Roman" w:hAnsi="Times New Roman" w:cs="Times New Roman" w:eastAsiaTheme="minorEastAsia"/>
                <w:kern w:val="0"/>
                <w:sz w:val="21"/>
                <w:szCs w:val="21"/>
                <w:lang w:val="en-US" w:eastAsia="zh-CN"/>
              </w:rPr>
              <w:t>草地</w:t>
            </w:r>
          </w:p>
        </w:tc>
        <w:tc>
          <w:tcPr>
            <w:tcW w:w="751" w:type="pct"/>
            <w:vMerge w:val="continue"/>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956" w:type="pct"/>
            <w:vMerge w:val="continue"/>
          </w:tcPr>
          <w:p>
            <w:pPr>
              <w:ind w:firstLine="0" w:firstLineChars="0"/>
              <w:jc w:val="center"/>
              <w:rPr>
                <w:rFonts w:ascii="Times New Roman" w:cs="Times New Roman" w:hAnsiTheme="minorHAnsi" w:eastAsiaTheme="minorEastAsia"/>
                <w:b/>
                <w:sz w:val="21"/>
                <w:szCs w:val="21"/>
              </w:rPr>
            </w:pPr>
          </w:p>
        </w:tc>
        <w:tc>
          <w:tcPr>
            <w:tcW w:w="958" w:type="pct"/>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r>
              <w:rPr>
                <w:rFonts w:ascii="Times New Roman" w:hAnsi="Times New Roman" w:cs="Times New Roman" w:eastAsiaTheme="minorEastAsia"/>
                <w:kern w:val="0"/>
                <w:sz w:val="21"/>
                <w:szCs w:val="21"/>
              </w:rPr>
              <w:t>路基</w:t>
            </w:r>
          </w:p>
        </w:tc>
        <w:tc>
          <w:tcPr>
            <w:tcW w:w="453" w:type="pct"/>
            <w:vAlign w:val="center"/>
          </w:tcPr>
          <w:p>
            <w:pPr>
              <w:widowControl/>
              <w:spacing w:line="240" w:lineRule="auto"/>
              <w:ind w:firstLine="0" w:firstLineChars="0"/>
              <w:jc w:val="center"/>
              <w:rPr>
                <w:rFonts w:hint="default" w:ascii="Times New Roman" w:hAnsi="Times New Roman" w:cs="Times New Roman" w:eastAsiaTheme="minorEastAsia"/>
                <w:kern w:val="0"/>
                <w:sz w:val="21"/>
                <w:szCs w:val="21"/>
                <w:lang w:val="en-US" w:eastAsia="zh-CN"/>
              </w:rPr>
            </w:pPr>
            <w:r>
              <w:rPr>
                <w:rFonts w:hint="eastAsia" w:cs="Times New Roman" w:eastAsiaTheme="minorEastAsia"/>
                <w:kern w:val="0"/>
                <w:sz w:val="21"/>
                <w:szCs w:val="21"/>
                <w:lang w:val="en-US" w:eastAsia="zh-CN"/>
              </w:rPr>
              <w:t>0.17</w:t>
            </w:r>
          </w:p>
        </w:tc>
        <w:tc>
          <w:tcPr>
            <w:tcW w:w="487" w:type="pct"/>
            <w:vAlign w:val="center"/>
          </w:tcPr>
          <w:p>
            <w:pPr>
              <w:widowControl/>
              <w:spacing w:line="240" w:lineRule="auto"/>
              <w:ind w:firstLine="0" w:firstLineChars="0"/>
              <w:jc w:val="center"/>
              <w:rPr>
                <w:rFonts w:hint="eastAsia" w:cs="Times New Roman" w:eastAsiaTheme="minorEastAsia"/>
                <w:kern w:val="0"/>
                <w:sz w:val="21"/>
                <w:szCs w:val="21"/>
                <w:lang w:val="en-US" w:eastAsia="zh-CN"/>
              </w:rPr>
            </w:pPr>
          </w:p>
        </w:tc>
        <w:tc>
          <w:tcPr>
            <w:tcW w:w="568" w:type="pct"/>
            <w:vAlign w:val="center"/>
          </w:tcPr>
          <w:p>
            <w:pPr>
              <w:widowControl/>
              <w:spacing w:line="240" w:lineRule="auto"/>
              <w:ind w:firstLine="0" w:firstLineChars="0"/>
              <w:jc w:val="center"/>
              <w:rPr>
                <w:rFonts w:hint="eastAsia" w:ascii="Times New Roman" w:hAnsi="Times New Roman" w:cs="Times New Roman" w:eastAsiaTheme="minorEastAsia"/>
                <w:kern w:val="0"/>
                <w:sz w:val="21"/>
                <w:szCs w:val="21"/>
                <w:lang w:val="en-US" w:eastAsia="zh-CN" w:bidi="ar-SA"/>
              </w:rPr>
            </w:pPr>
            <w:r>
              <w:rPr>
                <w:rFonts w:hint="eastAsia" w:cs="Times New Roman" w:eastAsiaTheme="minorEastAsia"/>
                <w:kern w:val="0"/>
                <w:sz w:val="21"/>
                <w:szCs w:val="21"/>
                <w:lang w:val="en-US" w:eastAsia="zh-CN"/>
              </w:rPr>
              <w:t>0.17</w:t>
            </w:r>
          </w:p>
        </w:tc>
        <w:tc>
          <w:tcPr>
            <w:tcW w:w="824" w:type="pct"/>
            <w:vAlign w:val="center"/>
          </w:tcPr>
          <w:p>
            <w:pPr>
              <w:widowControl/>
              <w:spacing w:line="240" w:lineRule="auto"/>
              <w:ind w:firstLine="0" w:firstLineChars="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eastAsiaTheme="minorEastAsia"/>
                <w:kern w:val="0"/>
                <w:sz w:val="21"/>
                <w:szCs w:val="21"/>
                <w:lang w:val="en-US" w:eastAsia="zh-CN"/>
              </w:rPr>
              <w:t>公路用地</w:t>
            </w:r>
          </w:p>
        </w:tc>
        <w:tc>
          <w:tcPr>
            <w:tcW w:w="751" w:type="pct"/>
            <w:vMerge w:val="restart"/>
            <w:vAlign w:val="center"/>
          </w:tcPr>
          <w:p>
            <w:pPr>
              <w:widowControl/>
              <w:spacing w:line="240" w:lineRule="auto"/>
              <w:ind w:firstLine="0" w:firstLineChars="0"/>
              <w:jc w:val="center"/>
              <w:rPr>
                <w:rFonts w:hint="default" w:ascii="Times New Roman" w:hAnsi="Times New Roman" w:cs="Times New Roman" w:eastAsiaTheme="minorEastAsia"/>
                <w:b/>
                <w:kern w:val="0"/>
                <w:sz w:val="21"/>
                <w:szCs w:val="21"/>
                <w:lang w:val="en-US" w:eastAsia="zh-CN"/>
              </w:rPr>
            </w:pPr>
            <w:r>
              <w:rPr>
                <w:rFonts w:hint="eastAsia" w:ascii="Times New Roman" w:hAnsi="Times New Roman" w:cs="Times New Roman" w:eastAsiaTheme="minorEastAsia"/>
                <w:kern w:val="0"/>
                <w:sz w:val="21"/>
                <w:szCs w:val="21"/>
                <w:lang w:val="en-US" w:eastAsia="zh-CN"/>
              </w:rPr>
              <w:t>管理服务区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956" w:type="pct"/>
            <w:vMerge w:val="continue"/>
          </w:tcPr>
          <w:p>
            <w:pPr>
              <w:ind w:firstLine="0" w:firstLineChars="0"/>
              <w:jc w:val="center"/>
              <w:rPr>
                <w:rFonts w:ascii="Times New Roman" w:cs="Times New Roman" w:hAnsiTheme="minorHAnsi" w:eastAsiaTheme="minorEastAsia"/>
                <w:b/>
                <w:sz w:val="21"/>
                <w:szCs w:val="21"/>
              </w:rPr>
            </w:pPr>
          </w:p>
        </w:tc>
        <w:tc>
          <w:tcPr>
            <w:tcW w:w="958" w:type="pct"/>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r>
              <w:rPr>
                <w:rFonts w:ascii="Times New Roman" w:hAnsi="Times New Roman" w:cs="Times New Roman" w:eastAsiaTheme="minorEastAsia"/>
                <w:kern w:val="0"/>
                <w:sz w:val="21"/>
                <w:szCs w:val="21"/>
              </w:rPr>
              <w:t>路基</w:t>
            </w:r>
          </w:p>
        </w:tc>
        <w:tc>
          <w:tcPr>
            <w:tcW w:w="453" w:type="pct"/>
            <w:vAlign w:val="center"/>
          </w:tcPr>
          <w:p>
            <w:pPr>
              <w:widowControl/>
              <w:spacing w:line="240" w:lineRule="auto"/>
              <w:ind w:firstLine="0" w:firstLineChars="0"/>
              <w:jc w:val="center"/>
              <w:rPr>
                <w:rFonts w:hint="default" w:ascii="Times New Roman" w:hAnsi="Times New Roman" w:cs="Times New Roman" w:eastAsiaTheme="minorEastAsia"/>
                <w:kern w:val="0"/>
                <w:sz w:val="21"/>
                <w:szCs w:val="21"/>
                <w:lang w:val="en-US" w:eastAsia="zh-CN"/>
              </w:rPr>
            </w:pPr>
          </w:p>
        </w:tc>
        <w:tc>
          <w:tcPr>
            <w:tcW w:w="487" w:type="pct"/>
            <w:vAlign w:val="center"/>
          </w:tcPr>
          <w:p>
            <w:pPr>
              <w:widowControl/>
              <w:spacing w:line="240" w:lineRule="auto"/>
              <w:ind w:firstLine="0" w:firstLineChars="0"/>
              <w:jc w:val="center"/>
              <w:rPr>
                <w:rFonts w:hint="eastAsia" w:cs="Times New Roman" w:eastAsiaTheme="minorEastAsia"/>
                <w:kern w:val="0"/>
                <w:sz w:val="21"/>
                <w:szCs w:val="21"/>
                <w:lang w:val="en-US" w:eastAsia="zh-CN"/>
              </w:rPr>
            </w:pPr>
            <w:r>
              <w:rPr>
                <w:rFonts w:hint="eastAsia" w:cs="Times New Roman" w:eastAsiaTheme="minorEastAsia"/>
                <w:kern w:val="0"/>
                <w:sz w:val="21"/>
                <w:szCs w:val="21"/>
                <w:lang w:val="en-US" w:eastAsia="zh-CN"/>
              </w:rPr>
              <w:t>0.01</w:t>
            </w:r>
          </w:p>
        </w:tc>
        <w:tc>
          <w:tcPr>
            <w:tcW w:w="568" w:type="pct"/>
            <w:vAlign w:val="center"/>
          </w:tcPr>
          <w:p>
            <w:pPr>
              <w:widowControl/>
              <w:spacing w:line="240" w:lineRule="auto"/>
              <w:ind w:firstLine="0" w:firstLineChars="0"/>
              <w:jc w:val="center"/>
              <w:rPr>
                <w:rFonts w:hint="eastAsia" w:ascii="Times New Roman" w:hAnsi="Times New Roman" w:cs="Times New Roman" w:eastAsiaTheme="minorEastAsia"/>
                <w:kern w:val="0"/>
                <w:sz w:val="21"/>
                <w:szCs w:val="21"/>
                <w:lang w:val="en-US" w:eastAsia="zh-CN" w:bidi="ar-SA"/>
              </w:rPr>
            </w:pPr>
            <w:r>
              <w:rPr>
                <w:rFonts w:hint="eastAsia" w:cs="Times New Roman" w:eastAsiaTheme="minorEastAsia"/>
                <w:kern w:val="0"/>
                <w:sz w:val="21"/>
                <w:szCs w:val="21"/>
                <w:lang w:val="en-US" w:eastAsia="zh-CN"/>
              </w:rPr>
              <w:t>0.01</w:t>
            </w:r>
          </w:p>
        </w:tc>
        <w:tc>
          <w:tcPr>
            <w:tcW w:w="824" w:type="pct"/>
            <w:vAlign w:val="center"/>
          </w:tcPr>
          <w:p>
            <w:pPr>
              <w:widowControl/>
              <w:spacing w:line="240" w:lineRule="auto"/>
              <w:ind w:firstLine="0" w:firstLineChars="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eastAsiaTheme="minorEastAsia"/>
                <w:kern w:val="0"/>
                <w:sz w:val="21"/>
                <w:szCs w:val="21"/>
                <w:lang w:val="en-US" w:eastAsia="zh-CN"/>
              </w:rPr>
              <w:t>灌木林地</w:t>
            </w:r>
          </w:p>
        </w:tc>
        <w:tc>
          <w:tcPr>
            <w:tcW w:w="751" w:type="pct"/>
            <w:vMerge w:val="continue"/>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956" w:type="pct"/>
            <w:vMerge w:val="continue"/>
          </w:tcPr>
          <w:p>
            <w:pPr>
              <w:ind w:firstLine="0" w:firstLineChars="0"/>
              <w:jc w:val="center"/>
              <w:rPr>
                <w:rFonts w:ascii="Times New Roman" w:cs="Times New Roman" w:hAnsiTheme="minorHAnsi" w:eastAsiaTheme="minorEastAsia"/>
                <w:b/>
                <w:sz w:val="21"/>
                <w:szCs w:val="21"/>
              </w:rPr>
            </w:pPr>
          </w:p>
        </w:tc>
        <w:tc>
          <w:tcPr>
            <w:tcW w:w="958" w:type="pct"/>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r>
              <w:rPr>
                <w:rFonts w:ascii="Times New Roman" w:hAnsi="Times New Roman" w:cs="Times New Roman" w:eastAsiaTheme="minorEastAsia"/>
                <w:kern w:val="0"/>
                <w:sz w:val="21"/>
                <w:szCs w:val="21"/>
              </w:rPr>
              <w:t>路基</w:t>
            </w:r>
          </w:p>
        </w:tc>
        <w:tc>
          <w:tcPr>
            <w:tcW w:w="453" w:type="pct"/>
            <w:vAlign w:val="center"/>
          </w:tcPr>
          <w:p>
            <w:pPr>
              <w:widowControl/>
              <w:spacing w:line="240" w:lineRule="auto"/>
              <w:ind w:firstLine="0" w:firstLineChars="0"/>
              <w:jc w:val="center"/>
              <w:rPr>
                <w:rFonts w:hint="eastAsia" w:ascii="Times New Roman" w:hAnsi="Times New Roman" w:cs="Times New Roman" w:eastAsiaTheme="minorEastAsia"/>
                <w:kern w:val="0"/>
                <w:sz w:val="21"/>
                <w:szCs w:val="21"/>
                <w:lang w:eastAsia="zh-CN"/>
              </w:rPr>
            </w:pPr>
          </w:p>
        </w:tc>
        <w:tc>
          <w:tcPr>
            <w:tcW w:w="487" w:type="pct"/>
            <w:vAlign w:val="center"/>
          </w:tcPr>
          <w:p>
            <w:pPr>
              <w:widowControl/>
              <w:spacing w:line="240" w:lineRule="auto"/>
              <w:ind w:firstLine="0" w:firstLineChars="0"/>
              <w:jc w:val="center"/>
              <w:rPr>
                <w:rFonts w:hint="eastAsia" w:ascii="Times New Roman" w:hAnsi="Times New Roman" w:cs="Times New Roman" w:eastAsiaTheme="minorEastAsia"/>
                <w:kern w:val="0"/>
                <w:sz w:val="21"/>
                <w:szCs w:val="21"/>
              </w:rPr>
            </w:pPr>
            <w:r>
              <w:rPr>
                <w:rFonts w:hint="eastAsia" w:ascii="Times New Roman" w:hAnsi="Times New Roman" w:cs="Times New Roman" w:eastAsiaTheme="minorEastAsia"/>
                <w:kern w:val="0"/>
                <w:sz w:val="21"/>
                <w:szCs w:val="21"/>
              </w:rPr>
              <w:t>0.1</w:t>
            </w:r>
            <w:r>
              <w:rPr>
                <w:rFonts w:hint="eastAsia" w:cs="Times New Roman" w:eastAsiaTheme="minorEastAsia"/>
                <w:kern w:val="0"/>
                <w:sz w:val="21"/>
                <w:szCs w:val="21"/>
                <w:lang w:val="en-US" w:eastAsia="zh-CN"/>
              </w:rPr>
              <w:t>2</w:t>
            </w:r>
          </w:p>
        </w:tc>
        <w:tc>
          <w:tcPr>
            <w:tcW w:w="568" w:type="pct"/>
            <w:vAlign w:val="center"/>
          </w:tcPr>
          <w:p>
            <w:pPr>
              <w:widowControl/>
              <w:spacing w:line="240" w:lineRule="auto"/>
              <w:ind w:firstLine="0" w:firstLineChars="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eastAsiaTheme="minorEastAsia"/>
                <w:kern w:val="0"/>
                <w:sz w:val="21"/>
                <w:szCs w:val="21"/>
              </w:rPr>
              <w:t>0.1</w:t>
            </w:r>
            <w:r>
              <w:rPr>
                <w:rFonts w:hint="eastAsia" w:cs="Times New Roman" w:eastAsiaTheme="minorEastAsia"/>
                <w:kern w:val="0"/>
                <w:sz w:val="21"/>
                <w:szCs w:val="21"/>
                <w:lang w:val="en-US" w:eastAsia="zh-CN"/>
              </w:rPr>
              <w:t>2</w:t>
            </w:r>
          </w:p>
        </w:tc>
        <w:tc>
          <w:tcPr>
            <w:tcW w:w="824" w:type="pct"/>
            <w:vAlign w:val="center"/>
          </w:tcPr>
          <w:p>
            <w:pPr>
              <w:widowControl/>
              <w:spacing w:line="240" w:lineRule="auto"/>
              <w:ind w:firstLine="0" w:firstLineChars="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eastAsiaTheme="minorEastAsia"/>
                <w:kern w:val="0"/>
                <w:sz w:val="21"/>
                <w:szCs w:val="21"/>
                <w:lang w:val="en-US" w:eastAsia="zh-CN"/>
              </w:rPr>
              <w:t>草地</w:t>
            </w:r>
          </w:p>
        </w:tc>
        <w:tc>
          <w:tcPr>
            <w:tcW w:w="751" w:type="pct"/>
            <w:vMerge w:val="continue"/>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956" w:type="pct"/>
            <w:vMerge w:val="continue"/>
          </w:tcPr>
          <w:p>
            <w:pPr>
              <w:ind w:firstLine="0" w:firstLineChars="0"/>
              <w:jc w:val="center"/>
              <w:rPr>
                <w:rFonts w:ascii="Times New Roman" w:cs="Times New Roman" w:hAnsiTheme="minorHAnsi" w:eastAsiaTheme="minorEastAsia"/>
                <w:b/>
                <w:sz w:val="21"/>
                <w:szCs w:val="21"/>
              </w:rPr>
            </w:pPr>
          </w:p>
        </w:tc>
        <w:tc>
          <w:tcPr>
            <w:tcW w:w="958" w:type="pct"/>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r>
              <w:rPr>
                <w:rFonts w:ascii="Times New Roman" w:hAnsi="Times New Roman" w:cs="Times New Roman" w:eastAsiaTheme="minorEastAsia"/>
                <w:kern w:val="0"/>
                <w:sz w:val="21"/>
                <w:szCs w:val="21"/>
              </w:rPr>
              <w:t>路基</w:t>
            </w:r>
          </w:p>
        </w:tc>
        <w:tc>
          <w:tcPr>
            <w:tcW w:w="453" w:type="pct"/>
            <w:vAlign w:val="center"/>
          </w:tcPr>
          <w:p>
            <w:pPr>
              <w:widowControl/>
              <w:spacing w:line="240" w:lineRule="auto"/>
              <w:ind w:firstLine="0" w:firstLineChars="0"/>
              <w:jc w:val="center"/>
              <w:rPr>
                <w:rFonts w:hint="default" w:ascii="Times New Roman" w:hAnsi="Times New Roman" w:cs="Times New Roman" w:eastAsiaTheme="minorEastAsia"/>
                <w:kern w:val="0"/>
                <w:sz w:val="21"/>
                <w:szCs w:val="21"/>
                <w:lang w:val="en-US" w:eastAsia="zh-CN"/>
              </w:rPr>
            </w:pPr>
            <w:r>
              <w:rPr>
                <w:rFonts w:hint="eastAsia" w:cs="Times New Roman" w:eastAsiaTheme="minorEastAsia"/>
                <w:kern w:val="0"/>
                <w:sz w:val="21"/>
                <w:szCs w:val="21"/>
                <w:lang w:val="en-US" w:eastAsia="zh-CN"/>
              </w:rPr>
              <w:t>5.27</w:t>
            </w:r>
          </w:p>
        </w:tc>
        <w:tc>
          <w:tcPr>
            <w:tcW w:w="487" w:type="pct"/>
            <w:vAlign w:val="center"/>
          </w:tcPr>
          <w:p>
            <w:pPr>
              <w:widowControl/>
              <w:spacing w:line="240" w:lineRule="auto"/>
              <w:ind w:firstLine="0" w:firstLineChars="0"/>
              <w:jc w:val="center"/>
              <w:rPr>
                <w:rFonts w:hint="eastAsia" w:cs="Times New Roman" w:eastAsiaTheme="minorEastAsia"/>
                <w:kern w:val="0"/>
                <w:sz w:val="21"/>
                <w:szCs w:val="21"/>
                <w:lang w:val="en-US" w:eastAsia="zh-CN"/>
              </w:rPr>
            </w:pPr>
          </w:p>
        </w:tc>
        <w:tc>
          <w:tcPr>
            <w:tcW w:w="568" w:type="pct"/>
            <w:vAlign w:val="center"/>
          </w:tcPr>
          <w:p>
            <w:pPr>
              <w:widowControl/>
              <w:spacing w:line="240" w:lineRule="auto"/>
              <w:ind w:firstLine="0" w:firstLineChars="0"/>
              <w:jc w:val="center"/>
              <w:rPr>
                <w:rFonts w:hint="eastAsia" w:ascii="Times New Roman" w:hAnsi="Times New Roman" w:cs="Times New Roman" w:eastAsiaTheme="minorEastAsia"/>
                <w:kern w:val="0"/>
                <w:sz w:val="21"/>
                <w:szCs w:val="21"/>
                <w:lang w:val="en-US" w:eastAsia="zh-CN" w:bidi="ar-SA"/>
              </w:rPr>
            </w:pPr>
            <w:r>
              <w:rPr>
                <w:rFonts w:hint="eastAsia" w:cs="Times New Roman" w:eastAsiaTheme="minorEastAsia"/>
                <w:kern w:val="0"/>
                <w:sz w:val="21"/>
                <w:szCs w:val="21"/>
                <w:lang w:val="en-US" w:eastAsia="zh-CN"/>
              </w:rPr>
              <w:t>5.27</w:t>
            </w:r>
          </w:p>
        </w:tc>
        <w:tc>
          <w:tcPr>
            <w:tcW w:w="824" w:type="pct"/>
            <w:vAlign w:val="center"/>
          </w:tcPr>
          <w:p>
            <w:pPr>
              <w:widowControl/>
              <w:spacing w:line="240" w:lineRule="auto"/>
              <w:ind w:firstLine="0" w:firstLineChars="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eastAsiaTheme="minorEastAsia"/>
                <w:kern w:val="0"/>
                <w:sz w:val="21"/>
                <w:szCs w:val="21"/>
                <w:lang w:val="en-US" w:eastAsia="zh-CN"/>
              </w:rPr>
              <w:t>公路用地</w:t>
            </w:r>
          </w:p>
        </w:tc>
        <w:tc>
          <w:tcPr>
            <w:tcW w:w="751" w:type="pct"/>
            <w:vMerge w:val="restart"/>
            <w:vAlign w:val="center"/>
          </w:tcPr>
          <w:p>
            <w:pPr>
              <w:widowControl/>
              <w:spacing w:line="240" w:lineRule="auto"/>
              <w:ind w:firstLine="0" w:firstLineChars="0"/>
              <w:jc w:val="center"/>
              <w:rPr>
                <w:rFonts w:hint="eastAsia" w:ascii="Times New Roman" w:hAnsi="Times New Roman" w:cs="Times New Roman" w:eastAsiaTheme="minorEastAsia"/>
                <w:b/>
                <w:kern w:val="0"/>
                <w:sz w:val="21"/>
                <w:szCs w:val="21"/>
                <w:lang w:val="en-US" w:eastAsia="zh-CN"/>
              </w:rPr>
            </w:pPr>
            <w:r>
              <w:rPr>
                <w:rFonts w:hint="eastAsia" w:ascii="Times New Roman" w:hAnsi="Times New Roman" w:cs="Times New Roman" w:eastAsiaTheme="minorEastAsia"/>
                <w:kern w:val="0"/>
                <w:sz w:val="21"/>
                <w:szCs w:val="21"/>
                <w:lang w:val="en-US" w:eastAsia="zh-CN"/>
              </w:rPr>
              <w:t>综合利用</w:t>
            </w:r>
            <w:r>
              <w:rPr>
                <w:rFonts w:hint="eastAsia" w:cs="Times New Roman" w:eastAsiaTheme="minorEastAsia"/>
                <w:kern w:val="0"/>
                <w:sz w:val="21"/>
                <w:szCs w:val="21"/>
                <w:lang w:val="en-US" w:eastAsia="zh-CN"/>
              </w:rPr>
              <w:t>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956" w:type="pct"/>
            <w:vMerge w:val="continue"/>
          </w:tcPr>
          <w:p>
            <w:pPr>
              <w:ind w:firstLine="0" w:firstLineChars="0"/>
              <w:jc w:val="center"/>
              <w:rPr>
                <w:rFonts w:ascii="Times New Roman" w:cs="Times New Roman" w:hAnsiTheme="minorHAnsi" w:eastAsiaTheme="minorEastAsia"/>
                <w:b/>
                <w:sz w:val="21"/>
                <w:szCs w:val="21"/>
              </w:rPr>
            </w:pPr>
          </w:p>
        </w:tc>
        <w:tc>
          <w:tcPr>
            <w:tcW w:w="958" w:type="pct"/>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r>
              <w:rPr>
                <w:rFonts w:ascii="Times New Roman" w:hAnsi="Times New Roman" w:cs="Times New Roman" w:eastAsiaTheme="minorEastAsia"/>
                <w:kern w:val="0"/>
                <w:sz w:val="21"/>
                <w:szCs w:val="21"/>
              </w:rPr>
              <w:t>路基</w:t>
            </w:r>
          </w:p>
        </w:tc>
        <w:tc>
          <w:tcPr>
            <w:tcW w:w="453" w:type="pct"/>
            <w:vAlign w:val="center"/>
          </w:tcPr>
          <w:p>
            <w:pPr>
              <w:widowControl/>
              <w:spacing w:line="240" w:lineRule="auto"/>
              <w:ind w:firstLine="0" w:firstLineChars="0"/>
              <w:jc w:val="center"/>
              <w:rPr>
                <w:rFonts w:hint="default" w:ascii="Times New Roman" w:hAnsi="Times New Roman" w:cs="Times New Roman" w:eastAsiaTheme="minorEastAsia"/>
                <w:kern w:val="0"/>
                <w:sz w:val="21"/>
                <w:szCs w:val="21"/>
                <w:lang w:val="en-US" w:eastAsia="zh-CN"/>
              </w:rPr>
            </w:pPr>
          </w:p>
        </w:tc>
        <w:tc>
          <w:tcPr>
            <w:tcW w:w="487" w:type="pct"/>
            <w:vAlign w:val="center"/>
          </w:tcPr>
          <w:p>
            <w:pPr>
              <w:widowControl/>
              <w:spacing w:line="240" w:lineRule="auto"/>
              <w:ind w:firstLine="0" w:firstLineChars="0"/>
              <w:jc w:val="center"/>
              <w:rPr>
                <w:rFonts w:hint="eastAsia" w:cs="Times New Roman" w:eastAsiaTheme="minorEastAsia"/>
                <w:kern w:val="0"/>
                <w:sz w:val="21"/>
                <w:szCs w:val="21"/>
                <w:lang w:val="en-US" w:eastAsia="zh-CN"/>
              </w:rPr>
            </w:pPr>
            <w:r>
              <w:rPr>
                <w:rFonts w:hint="eastAsia" w:cs="Times New Roman" w:eastAsiaTheme="minorEastAsia"/>
                <w:kern w:val="0"/>
                <w:sz w:val="21"/>
                <w:szCs w:val="21"/>
                <w:lang w:val="en-US" w:eastAsia="zh-CN"/>
              </w:rPr>
              <w:t>0.03</w:t>
            </w:r>
          </w:p>
        </w:tc>
        <w:tc>
          <w:tcPr>
            <w:tcW w:w="568" w:type="pct"/>
            <w:vAlign w:val="center"/>
          </w:tcPr>
          <w:p>
            <w:pPr>
              <w:widowControl/>
              <w:spacing w:line="240" w:lineRule="auto"/>
              <w:ind w:firstLine="0" w:firstLineChars="0"/>
              <w:jc w:val="center"/>
              <w:rPr>
                <w:rFonts w:hint="eastAsia" w:ascii="Times New Roman" w:hAnsi="Times New Roman" w:cs="Times New Roman" w:eastAsiaTheme="minorEastAsia"/>
                <w:kern w:val="0"/>
                <w:sz w:val="21"/>
                <w:szCs w:val="21"/>
                <w:lang w:val="en-US" w:eastAsia="zh-CN" w:bidi="ar-SA"/>
              </w:rPr>
            </w:pPr>
            <w:r>
              <w:rPr>
                <w:rFonts w:hint="eastAsia" w:cs="Times New Roman" w:eastAsiaTheme="minorEastAsia"/>
                <w:kern w:val="0"/>
                <w:sz w:val="21"/>
                <w:szCs w:val="21"/>
                <w:lang w:val="en-US" w:eastAsia="zh-CN"/>
              </w:rPr>
              <w:t>0.03</w:t>
            </w:r>
          </w:p>
        </w:tc>
        <w:tc>
          <w:tcPr>
            <w:tcW w:w="824" w:type="pct"/>
            <w:vAlign w:val="center"/>
          </w:tcPr>
          <w:p>
            <w:pPr>
              <w:widowControl/>
              <w:spacing w:line="240" w:lineRule="auto"/>
              <w:ind w:firstLine="0" w:firstLineChars="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eastAsiaTheme="minorEastAsia"/>
                <w:kern w:val="0"/>
                <w:sz w:val="21"/>
                <w:szCs w:val="21"/>
                <w:lang w:val="en-US" w:eastAsia="zh-CN"/>
              </w:rPr>
              <w:t>灌木林地</w:t>
            </w:r>
          </w:p>
        </w:tc>
        <w:tc>
          <w:tcPr>
            <w:tcW w:w="751" w:type="pct"/>
            <w:vMerge w:val="continue"/>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956" w:type="pct"/>
            <w:vMerge w:val="continue"/>
          </w:tcPr>
          <w:p>
            <w:pPr>
              <w:ind w:firstLine="0" w:firstLineChars="0"/>
              <w:jc w:val="center"/>
              <w:rPr>
                <w:rFonts w:ascii="Times New Roman" w:cs="Times New Roman" w:hAnsiTheme="minorHAnsi" w:eastAsiaTheme="minorEastAsia"/>
                <w:b/>
                <w:sz w:val="21"/>
                <w:szCs w:val="21"/>
              </w:rPr>
            </w:pPr>
          </w:p>
        </w:tc>
        <w:tc>
          <w:tcPr>
            <w:tcW w:w="958" w:type="pct"/>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r>
              <w:rPr>
                <w:rFonts w:ascii="Times New Roman" w:hAnsi="Times New Roman" w:cs="Times New Roman" w:eastAsiaTheme="minorEastAsia"/>
                <w:kern w:val="0"/>
                <w:sz w:val="21"/>
                <w:szCs w:val="21"/>
              </w:rPr>
              <w:t>路基</w:t>
            </w:r>
          </w:p>
        </w:tc>
        <w:tc>
          <w:tcPr>
            <w:tcW w:w="453" w:type="pct"/>
            <w:vAlign w:val="center"/>
          </w:tcPr>
          <w:p>
            <w:pPr>
              <w:widowControl/>
              <w:spacing w:line="240" w:lineRule="auto"/>
              <w:ind w:firstLine="0" w:firstLineChars="0"/>
              <w:jc w:val="center"/>
              <w:rPr>
                <w:rFonts w:hint="default" w:ascii="Times New Roman" w:hAnsi="Times New Roman" w:cs="Times New Roman" w:eastAsiaTheme="minorEastAsia"/>
                <w:kern w:val="0"/>
                <w:sz w:val="21"/>
                <w:szCs w:val="21"/>
                <w:lang w:val="en-US" w:eastAsia="zh-CN"/>
              </w:rPr>
            </w:pPr>
          </w:p>
        </w:tc>
        <w:tc>
          <w:tcPr>
            <w:tcW w:w="487" w:type="pct"/>
            <w:vAlign w:val="center"/>
          </w:tcPr>
          <w:p>
            <w:pPr>
              <w:widowControl/>
              <w:spacing w:line="240" w:lineRule="auto"/>
              <w:ind w:firstLine="0" w:firstLineChars="0"/>
              <w:jc w:val="center"/>
              <w:rPr>
                <w:rFonts w:hint="eastAsia" w:cs="Times New Roman" w:eastAsiaTheme="minorEastAsia"/>
                <w:kern w:val="0"/>
                <w:sz w:val="21"/>
                <w:szCs w:val="21"/>
                <w:lang w:val="en-US" w:eastAsia="zh-CN"/>
              </w:rPr>
            </w:pPr>
            <w:r>
              <w:rPr>
                <w:rFonts w:hint="eastAsia" w:cs="Times New Roman" w:eastAsiaTheme="minorEastAsia"/>
                <w:kern w:val="0"/>
                <w:sz w:val="21"/>
                <w:szCs w:val="21"/>
                <w:lang w:val="en-US" w:eastAsia="zh-CN"/>
              </w:rPr>
              <w:t>0.40</w:t>
            </w:r>
          </w:p>
        </w:tc>
        <w:tc>
          <w:tcPr>
            <w:tcW w:w="568" w:type="pct"/>
            <w:vAlign w:val="center"/>
          </w:tcPr>
          <w:p>
            <w:pPr>
              <w:widowControl/>
              <w:spacing w:line="240" w:lineRule="auto"/>
              <w:ind w:firstLine="0" w:firstLineChars="0"/>
              <w:jc w:val="center"/>
              <w:rPr>
                <w:rFonts w:hint="eastAsia" w:ascii="Times New Roman" w:hAnsi="Times New Roman" w:cs="Times New Roman" w:eastAsiaTheme="minorEastAsia"/>
                <w:kern w:val="0"/>
                <w:sz w:val="21"/>
                <w:szCs w:val="21"/>
                <w:lang w:val="en-US" w:eastAsia="zh-CN" w:bidi="ar-SA"/>
              </w:rPr>
            </w:pPr>
            <w:r>
              <w:rPr>
                <w:rFonts w:hint="eastAsia" w:cs="Times New Roman" w:eastAsiaTheme="minorEastAsia"/>
                <w:kern w:val="0"/>
                <w:sz w:val="21"/>
                <w:szCs w:val="21"/>
                <w:lang w:val="en-US" w:eastAsia="zh-CN"/>
              </w:rPr>
              <w:t>0.40</w:t>
            </w:r>
          </w:p>
        </w:tc>
        <w:tc>
          <w:tcPr>
            <w:tcW w:w="824" w:type="pct"/>
            <w:vAlign w:val="center"/>
          </w:tcPr>
          <w:p>
            <w:pPr>
              <w:widowControl/>
              <w:spacing w:line="240" w:lineRule="auto"/>
              <w:ind w:firstLine="0" w:firstLineChars="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eastAsiaTheme="minorEastAsia"/>
                <w:kern w:val="0"/>
                <w:sz w:val="21"/>
                <w:szCs w:val="21"/>
                <w:lang w:val="en-US" w:eastAsia="zh-CN"/>
              </w:rPr>
              <w:t>湿地</w:t>
            </w:r>
          </w:p>
        </w:tc>
        <w:tc>
          <w:tcPr>
            <w:tcW w:w="751" w:type="pct"/>
            <w:vMerge w:val="continue"/>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956" w:type="pct"/>
            <w:vMerge w:val="continue"/>
          </w:tcPr>
          <w:p>
            <w:pPr>
              <w:ind w:firstLine="0" w:firstLineChars="0"/>
              <w:jc w:val="center"/>
              <w:rPr>
                <w:rFonts w:ascii="Times New Roman" w:cs="Times New Roman" w:hAnsiTheme="minorHAnsi" w:eastAsiaTheme="minorEastAsia"/>
                <w:b/>
                <w:sz w:val="21"/>
                <w:szCs w:val="21"/>
              </w:rPr>
            </w:pPr>
          </w:p>
        </w:tc>
        <w:tc>
          <w:tcPr>
            <w:tcW w:w="958" w:type="pct"/>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r>
              <w:rPr>
                <w:rFonts w:ascii="Times New Roman" w:hAnsi="Times New Roman" w:cs="Times New Roman" w:eastAsiaTheme="minorEastAsia"/>
                <w:kern w:val="0"/>
                <w:sz w:val="21"/>
                <w:szCs w:val="21"/>
              </w:rPr>
              <w:t>路基</w:t>
            </w:r>
          </w:p>
        </w:tc>
        <w:tc>
          <w:tcPr>
            <w:tcW w:w="453" w:type="pct"/>
            <w:vAlign w:val="center"/>
          </w:tcPr>
          <w:p>
            <w:pPr>
              <w:widowControl/>
              <w:spacing w:line="240" w:lineRule="auto"/>
              <w:ind w:firstLine="0" w:firstLineChars="0"/>
              <w:jc w:val="center"/>
              <w:rPr>
                <w:rFonts w:hint="default" w:ascii="Times New Roman" w:hAnsi="Times New Roman" w:cs="Times New Roman" w:eastAsiaTheme="minorEastAsia"/>
                <w:kern w:val="0"/>
                <w:sz w:val="21"/>
                <w:szCs w:val="21"/>
                <w:lang w:val="en-US" w:eastAsia="zh-CN"/>
              </w:rPr>
            </w:pPr>
          </w:p>
        </w:tc>
        <w:tc>
          <w:tcPr>
            <w:tcW w:w="487" w:type="pct"/>
            <w:vAlign w:val="center"/>
          </w:tcPr>
          <w:p>
            <w:pPr>
              <w:widowControl/>
              <w:spacing w:line="240" w:lineRule="auto"/>
              <w:ind w:firstLine="0" w:firstLineChars="0"/>
              <w:jc w:val="center"/>
              <w:rPr>
                <w:rFonts w:hint="eastAsia" w:cs="Times New Roman" w:eastAsiaTheme="minorEastAsia"/>
                <w:kern w:val="0"/>
                <w:sz w:val="21"/>
                <w:szCs w:val="21"/>
                <w:lang w:val="en-US" w:eastAsia="zh-CN"/>
              </w:rPr>
            </w:pPr>
            <w:r>
              <w:rPr>
                <w:rFonts w:hint="eastAsia" w:cs="Times New Roman" w:eastAsiaTheme="minorEastAsia"/>
                <w:kern w:val="0"/>
                <w:sz w:val="21"/>
                <w:szCs w:val="21"/>
                <w:lang w:val="en-US" w:eastAsia="zh-CN"/>
              </w:rPr>
              <w:t>1.36</w:t>
            </w:r>
          </w:p>
        </w:tc>
        <w:tc>
          <w:tcPr>
            <w:tcW w:w="568" w:type="pct"/>
            <w:vAlign w:val="center"/>
          </w:tcPr>
          <w:p>
            <w:pPr>
              <w:widowControl/>
              <w:spacing w:line="240" w:lineRule="auto"/>
              <w:ind w:firstLine="0" w:firstLineChars="0"/>
              <w:jc w:val="center"/>
              <w:rPr>
                <w:rFonts w:hint="eastAsia" w:ascii="Times New Roman" w:hAnsi="Times New Roman" w:cs="Times New Roman" w:eastAsiaTheme="minorEastAsia"/>
                <w:kern w:val="0"/>
                <w:sz w:val="21"/>
                <w:szCs w:val="21"/>
                <w:lang w:val="en-US" w:eastAsia="zh-CN" w:bidi="ar-SA"/>
              </w:rPr>
            </w:pPr>
            <w:r>
              <w:rPr>
                <w:rFonts w:hint="eastAsia" w:cs="Times New Roman" w:eastAsiaTheme="minorEastAsia"/>
                <w:kern w:val="0"/>
                <w:sz w:val="21"/>
                <w:szCs w:val="21"/>
                <w:lang w:val="en-US" w:eastAsia="zh-CN"/>
              </w:rPr>
              <w:t>1.36</w:t>
            </w:r>
          </w:p>
        </w:tc>
        <w:tc>
          <w:tcPr>
            <w:tcW w:w="824" w:type="pct"/>
            <w:vAlign w:val="center"/>
          </w:tcPr>
          <w:p>
            <w:pPr>
              <w:widowControl/>
              <w:spacing w:line="240" w:lineRule="auto"/>
              <w:ind w:firstLine="0" w:firstLineChars="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eastAsiaTheme="minorEastAsia"/>
                <w:kern w:val="0"/>
                <w:sz w:val="21"/>
                <w:szCs w:val="21"/>
                <w:lang w:val="en-US" w:eastAsia="zh-CN"/>
              </w:rPr>
              <w:t>草地</w:t>
            </w:r>
          </w:p>
        </w:tc>
        <w:tc>
          <w:tcPr>
            <w:tcW w:w="751" w:type="pct"/>
            <w:vMerge w:val="continue"/>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957" w:type="pct"/>
          </w:tcPr>
          <w:p>
            <w:pPr>
              <w:widowControl/>
              <w:spacing w:line="240" w:lineRule="auto"/>
              <w:ind w:firstLine="0" w:firstLineChars="0"/>
              <w:jc w:val="center"/>
              <w:rPr>
                <w:rFonts w:ascii="Times New Roman" w:hAnsi="Times New Roman" w:cs="Times New Roman" w:eastAsiaTheme="minorEastAsia"/>
                <w:b/>
                <w:kern w:val="0"/>
                <w:sz w:val="21"/>
                <w:szCs w:val="21"/>
              </w:rPr>
            </w:pPr>
            <w:r>
              <w:rPr>
                <w:rFonts w:ascii="Times New Roman" w:cs="Times New Roman" w:hAnsiTheme="minorHAnsi" w:eastAsiaTheme="minorEastAsia"/>
                <w:b/>
                <w:sz w:val="21"/>
                <w:szCs w:val="21"/>
              </w:rPr>
              <w:t>合</w:t>
            </w:r>
            <w:r>
              <w:rPr>
                <w:rFonts w:hint="eastAsia" w:cs="Times New Roman" w:hAnsiTheme="minorHAnsi" w:eastAsiaTheme="minorEastAsia"/>
                <w:b/>
                <w:sz w:val="21"/>
                <w:szCs w:val="21"/>
                <w:lang w:val="en-US" w:eastAsia="zh-CN"/>
              </w:rPr>
              <w:t xml:space="preserve">  </w:t>
            </w:r>
            <w:r>
              <w:rPr>
                <w:rFonts w:ascii="Times New Roman" w:cs="Times New Roman" w:hAnsiTheme="minorHAnsi" w:eastAsiaTheme="minorEastAsia"/>
                <w:b/>
                <w:sz w:val="21"/>
                <w:szCs w:val="21"/>
              </w:rPr>
              <w:t>计</w:t>
            </w:r>
          </w:p>
        </w:tc>
        <w:tc>
          <w:tcPr>
            <w:tcW w:w="957" w:type="pct"/>
          </w:tcPr>
          <w:p>
            <w:pPr>
              <w:widowControl/>
              <w:spacing w:line="240" w:lineRule="auto"/>
              <w:ind w:firstLine="0" w:firstLineChars="0"/>
              <w:jc w:val="center"/>
              <w:rPr>
                <w:rFonts w:ascii="Times New Roman" w:cs="Times New Roman" w:hAnsiTheme="minorHAnsi" w:eastAsiaTheme="minorEastAsia"/>
                <w:b/>
                <w:sz w:val="21"/>
                <w:szCs w:val="21"/>
              </w:rPr>
            </w:pPr>
          </w:p>
        </w:tc>
        <w:tc>
          <w:tcPr>
            <w:tcW w:w="453" w:type="pct"/>
            <w:vAlign w:val="center"/>
          </w:tcPr>
          <w:p>
            <w:pPr>
              <w:widowControl/>
              <w:spacing w:line="240" w:lineRule="auto"/>
              <w:ind w:firstLine="0" w:firstLineChars="0"/>
              <w:jc w:val="center"/>
              <w:rPr>
                <w:rFonts w:hint="default" w:ascii="Times New Roman" w:hAnsi="Times New Roman" w:cs="Times New Roman" w:eastAsiaTheme="minorEastAsia"/>
                <w:b/>
                <w:kern w:val="0"/>
                <w:sz w:val="21"/>
                <w:szCs w:val="21"/>
                <w:lang w:val="en-US" w:eastAsia="zh-CN"/>
              </w:rPr>
            </w:pPr>
            <w:r>
              <w:rPr>
                <w:rFonts w:hint="eastAsia" w:cs="Times New Roman" w:eastAsiaTheme="minorEastAsia"/>
                <w:b/>
                <w:kern w:val="0"/>
                <w:sz w:val="21"/>
                <w:szCs w:val="21"/>
                <w:lang w:val="en-US" w:eastAsia="zh-CN"/>
              </w:rPr>
              <w:t>6.00</w:t>
            </w:r>
          </w:p>
        </w:tc>
        <w:tc>
          <w:tcPr>
            <w:tcW w:w="487" w:type="pct"/>
            <w:vAlign w:val="center"/>
          </w:tcPr>
          <w:p>
            <w:pPr>
              <w:widowControl/>
              <w:spacing w:line="240" w:lineRule="auto"/>
              <w:ind w:firstLine="0" w:firstLineChars="0"/>
              <w:jc w:val="center"/>
              <w:rPr>
                <w:rFonts w:hint="default" w:cs="Times New Roman" w:eastAsiaTheme="minorEastAsia"/>
                <w:b/>
                <w:color w:val="auto"/>
                <w:kern w:val="0"/>
                <w:sz w:val="21"/>
                <w:szCs w:val="21"/>
                <w:lang w:val="en-US" w:eastAsia="zh-CN"/>
              </w:rPr>
            </w:pPr>
            <w:r>
              <w:rPr>
                <w:rFonts w:hint="eastAsia" w:cs="Times New Roman" w:eastAsiaTheme="minorEastAsia"/>
                <w:b/>
                <w:color w:val="auto"/>
                <w:kern w:val="0"/>
                <w:sz w:val="21"/>
                <w:szCs w:val="21"/>
                <w:lang w:val="en-US" w:eastAsia="zh-CN"/>
              </w:rPr>
              <w:t>2.09</w:t>
            </w:r>
          </w:p>
        </w:tc>
        <w:tc>
          <w:tcPr>
            <w:tcW w:w="568" w:type="pct"/>
            <w:vAlign w:val="center"/>
          </w:tcPr>
          <w:p>
            <w:pPr>
              <w:widowControl/>
              <w:spacing w:line="240" w:lineRule="auto"/>
              <w:ind w:firstLine="0" w:firstLineChars="0"/>
              <w:jc w:val="center"/>
              <w:rPr>
                <w:rFonts w:hint="eastAsia" w:cs="Times New Roman" w:eastAsiaTheme="minorEastAsia"/>
                <w:b/>
                <w:color w:val="auto"/>
                <w:kern w:val="0"/>
                <w:sz w:val="21"/>
                <w:szCs w:val="21"/>
                <w:lang w:val="en-US" w:eastAsia="zh-CN"/>
              </w:rPr>
            </w:pPr>
            <w:r>
              <w:rPr>
                <w:rFonts w:hint="eastAsia" w:cs="Times New Roman" w:eastAsiaTheme="minorEastAsia"/>
                <w:b/>
                <w:color w:val="auto"/>
                <w:kern w:val="0"/>
                <w:sz w:val="21"/>
                <w:szCs w:val="21"/>
                <w:lang w:val="en-US" w:eastAsia="zh-CN"/>
              </w:rPr>
              <w:t>8.09</w:t>
            </w:r>
          </w:p>
        </w:tc>
        <w:tc>
          <w:tcPr>
            <w:tcW w:w="824" w:type="pct"/>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p>
        </w:tc>
        <w:tc>
          <w:tcPr>
            <w:tcW w:w="751" w:type="pct"/>
            <w:vAlign w:val="center"/>
          </w:tcPr>
          <w:p>
            <w:pPr>
              <w:widowControl/>
              <w:spacing w:line="240" w:lineRule="auto"/>
              <w:ind w:firstLine="0" w:firstLineChars="0"/>
              <w:jc w:val="center"/>
              <w:rPr>
                <w:rFonts w:ascii="Times New Roman" w:hAnsi="Times New Roman" w:cs="Times New Roman" w:eastAsiaTheme="minorEastAsia"/>
                <w:b/>
                <w:kern w:val="0"/>
                <w:sz w:val="21"/>
                <w:szCs w:val="21"/>
              </w:rPr>
            </w:pPr>
          </w:p>
        </w:tc>
      </w:tr>
    </w:tbl>
    <w:p>
      <w:pPr>
        <w:tabs>
          <w:tab w:val="left" w:pos="2640"/>
        </w:tabs>
        <w:ind w:firstLine="480" w:firstLineChars="200"/>
        <w:rPr>
          <w:rFonts w:hint="eastAsia" w:cs="Times New Roman"/>
        </w:rPr>
        <w:sectPr>
          <w:footerReference r:id="rId18" w:type="default"/>
          <w:pgSz w:w="11906" w:h="16838"/>
          <w:pgMar w:top="1440" w:right="1797" w:bottom="1440" w:left="1797" w:header="851" w:footer="992" w:gutter="0"/>
          <w:pgBorders>
            <w:top w:val="none" w:sz="0" w:space="0"/>
            <w:left w:val="none" w:sz="0" w:space="0"/>
            <w:bottom w:val="none" w:sz="0" w:space="0"/>
            <w:right w:val="none" w:sz="0" w:space="0"/>
          </w:pgBorders>
          <w:pgNumType w:fmt="decimal" w:start="1"/>
          <w:cols w:space="425" w:num="1"/>
          <w:docGrid w:type="linesAndChars" w:linePitch="326" w:charSpace="0"/>
        </w:sectPr>
      </w:pPr>
      <w:r>
        <w:rPr>
          <w:rFonts w:hint="eastAsia" w:cs="Times New Roman"/>
        </w:rPr>
        <w:t>项目在湿地公园内永久占地面积</w:t>
      </w:r>
      <w:r>
        <w:rPr>
          <w:rFonts w:hint="eastAsia" w:cs="Times New Roman"/>
          <w:lang w:val="en-US" w:eastAsia="zh-CN"/>
        </w:rPr>
        <w:t xml:space="preserve">8.09 </w:t>
      </w:r>
      <w:r>
        <w:rPr>
          <w:rFonts w:cs="Times New Roman"/>
        </w:rPr>
        <w:t>hm</w:t>
      </w:r>
      <w:r>
        <w:rPr>
          <w:rFonts w:cs="Times New Roman"/>
          <w:vertAlign w:val="superscript"/>
        </w:rPr>
        <w:t>2</w:t>
      </w:r>
      <w:r>
        <w:rPr>
          <w:rFonts w:hint="eastAsia" w:cs="Times New Roman"/>
        </w:rPr>
        <w:t>，</w:t>
      </w:r>
      <w:r>
        <w:rPr>
          <w:rFonts w:hint="eastAsia" w:cs="Times New Roman"/>
          <w:lang w:val="en-US" w:eastAsia="zh-CN"/>
        </w:rPr>
        <w:t xml:space="preserve">其中旧路占地6.00 </w:t>
      </w:r>
      <w:r>
        <w:rPr>
          <w:rFonts w:cs="Times New Roman"/>
        </w:rPr>
        <w:t>hm</w:t>
      </w:r>
      <w:r>
        <w:rPr>
          <w:rFonts w:cs="Times New Roman"/>
          <w:vertAlign w:val="superscript"/>
        </w:rPr>
        <w:t>2</w:t>
      </w:r>
      <w:r>
        <w:rPr>
          <w:rFonts w:hint="eastAsia" w:cs="Times New Roman"/>
          <w:lang w:val="en-US" w:eastAsia="zh-CN"/>
        </w:rPr>
        <w:t xml:space="preserve">，新增占地2.09 </w:t>
      </w:r>
      <w:r>
        <w:rPr>
          <w:rFonts w:cs="Times New Roman"/>
        </w:rPr>
        <w:t>hm</w:t>
      </w:r>
      <w:r>
        <w:rPr>
          <w:rFonts w:cs="Times New Roman"/>
          <w:vertAlign w:val="superscript"/>
        </w:rPr>
        <w:t>2</w:t>
      </w:r>
      <w:r>
        <w:rPr>
          <w:rFonts w:hint="eastAsia" w:cs="Times New Roman"/>
          <w:vertAlign w:val="baseline"/>
          <w:lang w:eastAsia="zh-CN"/>
        </w:rPr>
        <w:t>。</w:t>
      </w:r>
      <w:r>
        <w:rPr>
          <w:rFonts w:hint="eastAsia" w:cs="Times New Roman"/>
          <w:vertAlign w:val="baseline"/>
          <w:lang w:val="en-US" w:eastAsia="zh-CN"/>
        </w:rPr>
        <w:t>按功能分区看，项目</w:t>
      </w:r>
      <w:r>
        <w:rPr>
          <w:rFonts w:hint="eastAsia" w:cs="Times New Roman"/>
        </w:rPr>
        <w:t>在</w:t>
      </w:r>
      <w:r>
        <w:rPr>
          <w:rFonts w:hint="eastAsia" w:cs="Times New Roman"/>
          <w:lang w:val="en-US" w:eastAsia="zh-CN"/>
        </w:rPr>
        <w:t>湿地宣教</w:t>
      </w:r>
      <w:r>
        <w:rPr>
          <w:rFonts w:hint="eastAsia" w:cs="Times New Roman"/>
        </w:rPr>
        <w:t>区内占地</w:t>
      </w:r>
      <w:r>
        <w:rPr>
          <w:rFonts w:hint="eastAsia" w:cs="Times New Roman"/>
          <w:lang w:val="en-US" w:eastAsia="zh-CN"/>
        </w:rPr>
        <w:t>0.73</w:t>
      </w:r>
      <w:r>
        <w:rPr>
          <w:rFonts w:cs="Times New Roman"/>
        </w:rPr>
        <w:t>hm</w:t>
      </w:r>
      <w:r>
        <w:rPr>
          <w:rFonts w:cs="Times New Roman"/>
          <w:vertAlign w:val="superscript"/>
        </w:rPr>
        <w:t>2</w:t>
      </w:r>
      <w:r>
        <w:rPr>
          <w:rFonts w:hint="eastAsia" w:cs="Times New Roman"/>
        </w:rPr>
        <w:t>、在</w:t>
      </w:r>
      <w:r>
        <w:rPr>
          <w:rFonts w:hint="eastAsia" w:cs="Times New Roman"/>
          <w:lang w:val="en-US" w:eastAsia="zh-CN"/>
        </w:rPr>
        <w:t>管理服务</w:t>
      </w:r>
      <w:r>
        <w:rPr>
          <w:rFonts w:hint="eastAsia" w:cs="Times New Roman"/>
        </w:rPr>
        <w:t>区占地</w:t>
      </w:r>
      <w:r>
        <w:rPr>
          <w:rFonts w:hint="eastAsia" w:cs="Times New Roman"/>
          <w:lang w:val="en-US" w:eastAsia="zh-CN"/>
        </w:rPr>
        <w:t xml:space="preserve">0.30 </w:t>
      </w:r>
      <w:r>
        <w:rPr>
          <w:rFonts w:cs="Times New Roman"/>
        </w:rPr>
        <w:t>hm</w:t>
      </w:r>
      <w:r>
        <w:rPr>
          <w:rFonts w:cs="Times New Roman"/>
          <w:vertAlign w:val="superscript"/>
        </w:rPr>
        <w:t>2</w:t>
      </w:r>
      <w:r>
        <w:rPr>
          <w:rFonts w:hint="eastAsia" w:cs="Times New Roman"/>
        </w:rPr>
        <w:t>、</w:t>
      </w:r>
      <w:r>
        <w:rPr>
          <w:rFonts w:cs="Times New Roman"/>
        </w:rPr>
        <w:t>在</w:t>
      </w:r>
      <w:r>
        <w:rPr>
          <w:rFonts w:hint="eastAsia" w:cs="Times New Roman"/>
          <w:lang w:val="en-US" w:eastAsia="zh-CN"/>
        </w:rPr>
        <w:t>综合</w:t>
      </w:r>
      <w:r>
        <w:rPr>
          <w:rFonts w:cs="Times New Roman"/>
        </w:rPr>
        <w:t>利用区内</w:t>
      </w:r>
      <w:r>
        <w:rPr>
          <w:rFonts w:hint="eastAsia" w:cs="Times New Roman"/>
        </w:rPr>
        <w:t>占地</w:t>
      </w:r>
      <w:r>
        <w:rPr>
          <w:rFonts w:hint="eastAsia" w:cs="Times New Roman"/>
          <w:lang w:val="en-US" w:eastAsia="zh-CN"/>
        </w:rPr>
        <w:t xml:space="preserve">7.06 </w:t>
      </w:r>
      <w:r>
        <w:rPr>
          <w:rFonts w:cs="Times New Roman"/>
        </w:rPr>
        <w:t>hm</w:t>
      </w:r>
      <w:r>
        <w:rPr>
          <w:rFonts w:cs="Times New Roman"/>
          <w:vertAlign w:val="superscript"/>
        </w:rPr>
        <w:t>2</w:t>
      </w:r>
      <w:r>
        <w:rPr>
          <w:rFonts w:hint="eastAsia" w:cs="Times New Roman"/>
        </w:rPr>
        <w:t>。按占地类型来看，项目占用</w:t>
      </w:r>
      <w:r>
        <w:rPr>
          <w:rFonts w:hint="eastAsia" w:cs="Times New Roman"/>
          <w:lang w:val="en-US" w:eastAsia="zh-CN"/>
        </w:rPr>
        <w:t>公路用</w:t>
      </w:r>
      <w:r>
        <w:rPr>
          <w:rFonts w:hint="eastAsia" w:cs="Times New Roman"/>
        </w:rPr>
        <w:t>地</w:t>
      </w:r>
      <w:r>
        <w:rPr>
          <w:rFonts w:hint="eastAsia" w:cs="Times New Roman"/>
          <w:lang w:val="en-US" w:eastAsia="zh-CN"/>
        </w:rPr>
        <w:t>6.00</w:t>
      </w:r>
      <w:r>
        <w:rPr>
          <w:rFonts w:cs="Times New Roman"/>
        </w:rPr>
        <w:t xml:space="preserve"> hm</w:t>
      </w:r>
      <w:r>
        <w:rPr>
          <w:rFonts w:cs="Times New Roman"/>
          <w:vertAlign w:val="superscript"/>
        </w:rPr>
        <w:t>2</w:t>
      </w:r>
      <w:r>
        <w:rPr>
          <w:rFonts w:hint="eastAsia" w:cs="Times New Roman"/>
          <w:lang w:eastAsia="zh-CN"/>
        </w:rPr>
        <w:t>、</w:t>
      </w:r>
      <w:r>
        <w:rPr>
          <w:rFonts w:hint="eastAsia" w:cs="Times New Roman"/>
        </w:rPr>
        <w:t>灌木林地</w:t>
      </w:r>
      <w:r>
        <w:rPr>
          <w:rFonts w:hint="eastAsia" w:cs="Times New Roman"/>
          <w:lang w:val="en-US" w:eastAsia="zh-CN"/>
        </w:rPr>
        <w:t>0.05</w:t>
      </w:r>
      <w:r>
        <w:rPr>
          <w:rFonts w:cs="Times New Roman"/>
        </w:rPr>
        <w:t xml:space="preserve"> hm</w:t>
      </w:r>
      <w:r>
        <w:rPr>
          <w:rFonts w:cs="Times New Roman"/>
          <w:vertAlign w:val="superscript"/>
        </w:rPr>
        <w:t>2</w:t>
      </w:r>
      <w:r>
        <w:rPr>
          <w:rFonts w:hint="eastAsia" w:cs="Times New Roman"/>
        </w:rPr>
        <w:t>、草地</w:t>
      </w:r>
      <w:r>
        <w:rPr>
          <w:rFonts w:hint="eastAsia" w:cs="Times New Roman"/>
          <w:lang w:val="en-US" w:eastAsia="zh-CN"/>
        </w:rPr>
        <w:t>1.58</w:t>
      </w:r>
      <w:r>
        <w:rPr>
          <w:rFonts w:cs="Times New Roman"/>
        </w:rPr>
        <w:t xml:space="preserve"> hm</w:t>
      </w:r>
      <w:r>
        <w:rPr>
          <w:rFonts w:cs="Times New Roman"/>
          <w:vertAlign w:val="superscript"/>
        </w:rPr>
        <w:t>2</w:t>
      </w:r>
      <w:r>
        <w:rPr>
          <w:rFonts w:hint="eastAsia" w:cs="Times New Roman"/>
        </w:rPr>
        <w:t>、湿地</w:t>
      </w:r>
      <w:r>
        <w:rPr>
          <w:rFonts w:hint="eastAsia" w:cs="Times New Roman"/>
          <w:lang w:val="en-US" w:eastAsia="zh-CN"/>
        </w:rPr>
        <w:t>0.46</w:t>
      </w:r>
      <w:r>
        <w:rPr>
          <w:rFonts w:cs="Times New Roman"/>
        </w:rPr>
        <w:t xml:space="preserve"> hm</w:t>
      </w:r>
      <w:r>
        <w:rPr>
          <w:rFonts w:cs="Times New Roman"/>
          <w:vertAlign w:val="superscript"/>
        </w:rPr>
        <w:t>2</w:t>
      </w:r>
      <w:r>
        <w:rPr>
          <w:rFonts w:hint="eastAsia" w:cs="Times New Roman"/>
        </w:rPr>
        <w:t>。项目占用的湿地为靠近河岸的湿地边缘区域</w:t>
      </w:r>
      <w:r>
        <w:rPr>
          <w:rFonts w:hint="eastAsia" w:cs="Times New Roman"/>
          <w:lang w:val="en-US" w:eastAsia="zh-CN"/>
        </w:rPr>
        <w:t>以及沼泽草地</w:t>
      </w:r>
      <w:r>
        <w:rPr>
          <w:rFonts w:hint="eastAsia" w:cs="Times New Roman"/>
        </w:rPr>
        <w:t>边缘区域，实地调查为河岸陆地区域</w:t>
      </w:r>
      <w:r>
        <w:rPr>
          <w:rFonts w:hint="eastAsia" w:cs="Times New Roman"/>
          <w:lang w:val="en-US" w:eastAsia="zh-CN"/>
        </w:rPr>
        <w:t>和草地</w:t>
      </w:r>
      <w:r>
        <w:rPr>
          <w:rFonts w:hint="eastAsia" w:cs="Times New Roman"/>
        </w:rPr>
        <w:t>。</w:t>
      </w:r>
    </w:p>
    <w:p>
      <w:pPr>
        <w:pStyle w:val="2"/>
        <w:numPr>
          <w:ilvl w:val="0"/>
          <w:numId w:val="0"/>
        </w:numPr>
        <w:ind w:leftChars="0"/>
        <w:rPr>
          <w:rFonts w:cs="Times New Roman"/>
        </w:rPr>
      </w:pPr>
      <w:bookmarkStart w:id="12" w:name="_Toc10770"/>
      <w:r>
        <w:rPr>
          <w:rFonts w:hint="eastAsia" w:cs="Times New Roman"/>
          <w:lang w:val="en-US" w:eastAsia="zh-CN"/>
        </w:rPr>
        <w:t xml:space="preserve">3 </w:t>
      </w:r>
      <w:r>
        <w:rPr>
          <w:rFonts w:cs="Times New Roman"/>
        </w:rPr>
        <w:t>四川</w:t>
      </w:r>
      <w:r>
        <w:rPr>
          <w:rFonts w:hint="eastAsia" w:cs="Times New Roman"/>
        </w:rPr>
        <w:t>阿坝莲宝叶则</w:t>
      </w:r>
      <w:r>
        <w:rPr>
          <w:rFonts w:cs="Times New Roman"/>
        </w:rPr>
        <w:t>省级湿地公园概况</w:t>
      </w:r>
      <w:bookmarkEnd w:id="12"/>
    </w:p>
    <w:p>
      <w:pPr>
        <w:pStyle w:val="3"/>
        <w:numPr>
          <w:ilvl w:val="1"/>
          <w:numId w:val="0"/>
        </w:numPr>
        <w:ind w:leftChars="0"/>
        <w:rPr>
          <w:rFonts w:cs="Times New Roman"/>
        </w:rPr>
      </w:pPr>
      <w:bookmarkStart w:id="13" w:name="_Toc25448"/>
      <w:r>
        <w:rPr>
          <w:rFonts w:hint="eastAsia" w:cs="Times New Roman"/>
          <w:lang w:val="en-US" w:eastAsia="zh-CN"/>
        </w:rPr>
        <w:t xml:space="preserve">3.1 </w:t>
      </w:r>
      <w:r>
        <w:rPr>
          <w:rFonts w:cs="Times New Roman"/>
        </w:rPr>
        <w:t>公园级别</w:t>
      </w:r>
      <w:bookmarkEnd w:id="13"/>
    </w:p>
    <w:p>
      <w:pPr>
        <w:ind w:firstLine="480"/>
        <w:rPr>
          <w:rFonts w:cs="Times New Roman"/>
        </w:rPr>
      </w:pPr>
      <w:r>
        <w:rPr>
          <w:rFonts w:cs="Times New Roman"/>
        </w:rPr>
        <w:t>四川</w:t>
      </w:r>
      <w:r>
        <w:rPr>
          <w:rFonts w:hint="eastAsia" w:cs="Times New Roman"/>
        </w:rPr>
        <w:t>阿坝莲宝叶则</w:t>
      </w:r>
      <w:r>
        <w:rPr>
          <w:rFonts w:cs="Times New Roman"/>
        </w:rPr>
        <w:t>省级湿地公园是2011年12月31</w:t>
      </w:r>
      <w:r>
        <w:rPr>
          <w:rFonts w:hint="eastAsia" w:cs="Times New Roman"/>
        </w:rPr>
        <w:t>日</w:t>
      </w:r>
      <w:r>
        <w:rPr>
          <w:rFonts w:cs="Times New Roman"/>
        </w:rPr>
        <w:t>经</w:t>
      </w:r>
      <w:r>
        <w:rPr>
          <w:rFonts w:hint="eastAsia" w:cs="Times New Roman"/>
        </w:rPr>
        <w:t>四川省林业厅（川林护函</w:t>
      </w:r>
      <w:r>
        <w:rPr>
          <w:rFonts w:hint="eastAsia" w:ascii="宋体" w:hAnsi="宋体" w:cs="Times New Roman"/>
        </w:rPr>
        <w:t>〔</w:t>
      </w:r>
      <w:r>
        <w:rPr>
          <w:rFonts w:hint="eastAsia" w:cs="Times New Roman"/>
        </w:rPr>
        <w:t>201</w:t>
      </w:r>
      <w:r>
        <w:rPr>
          <w:rFonts w:cs="Times New Roman"/>
        </w:rPr>
        <w:t>1</w:t>
      </w:r>
      <w:r>
        <w:rPr>
          <w:rFonts w:hint="eastAsia" w:ascii="宋体" w:hAnsi="宋体" w:cs="Times New Roman"/>
        </w:rPr>
        <w:t>〕</w:t>
      </w:r>
      <w:r>
        <w:rPr>
          <w:rFonts w:cs="Times New Roman"/>
        </w:rPr>
        <w:t>1194</w:t>
      </w:r>
      <w:r>
        <w:rPr>
          <w:rFonts w:hint="eastAsia" w:cs="Times New Roman"/>
        </w:rPr>
        <w:t>号）</w:t>
      </w:r>
      <w:r>
        <w:rPr>
          <w:rFonts w:cs="Times New Roman"/>
        </w:rPr>
        <w:t>批准</w:t>
      </w:r>
      <w:r>
        <w:rPr>
          <w:rFonts w:hint="eastAsia" w:cs="Times New Roman"/>
        </w:rPr>
        <w:t>建立</w:t>
      </w:r>
      <w:r>
        <w:rPr>
          <w:rFonts w:cs="Times New Roman"/>
        </w:rPr>
        <w:t>的</w:t>
      </w:r>
      <w:r>
        <w:rPr>
          <w:rFonts w:hint="eastAsia" w:cs="Times New Roman"/>
        </w:rPr>
        <w:t>省</w:t>
      </w:r>
      <w:r>
        <w:rPr>
          <w:rFonts w:cs="Times New Roman"/>
        </w:rPr>
        <w:t>级湿地公园。</w:t>
      </w:r>
    </w:p>
    <w:p>
      <w:pPr>
        <w:pStyle w:val="3"/>
        <w:numPr>
          <w:ilvl w:val="1"/>
          <w:numId w:val="0"/>
        </w:numPr>
        <w:ind w:leftChars="0"/>
        <w:rPr>
          <w:rFonts w:cs="Times New Roman"/>
        </w:rPr>
      </w:pPr>
      <w:bookmarkStart w:id="14" w:name="_Toc5606"/>
      <w:r>
        <w:rPr>
          <w:rFonts w:hint="eastAsia" w:cs="Times New Roman"/>
          <w:lang w:val="en-US" w:eastAsia="zh-CN"/>
        </w:rPr>
        <w:t xml:space="preserve">3.2 </w:t>
      </w:r>
      <w:r>
        <w:rPr>
          <w:rFonts w:cs="Times New Roman"/>
        </w:rPr>
        <w:t>地理位置及范围</w:t>
      </w:r>
      <w:bookmarkEnd w:id="14"/>
    </w:p>
    <w:p>
      <w:pPr>
        <w:ind w:firstLine="482"/>
        <w:rPr>
          <w:rFonts w:cs="Times New Roman"/>
          <w:b/>
        </w:rPr>
      </w:pPr>
      <w:r>
        <w:rPr>
          <w:rFonts w:cs="Times New Roman"/>
          <w:b/>
        </w:rPr>
        <w:t>1、地理位置</w:t>
      </w:r>
    </w:p>
    <w:p>
      <w:pPr>
        <w:ind w:firstLine="480"/>
        <w:rPr>
          <w:rFonts w:cs="Times New Roman"/>
        </w:rPr>
      </w:pPr>
      <w:r>
        <w:rPr>
          <w:rFonts w:cs="Times New Roman"/>
        </w:rPr>
        <w:t>四川</w:t>
      </w:r>
      <w:r>
        <w:rPr>
          <w:rFonts w:hint="eastAsia" w:cs="Times New Roman"/>
        </w:rPr>
        <w:t>阿坝莲宝叶则</w:t>
      </w:r>
      <w:r>
        <w:rPr>
          <w:rFonts w:cs="Times New Roman"/>
        </w:rPr>
        <w:t>省级湿地公园位于四川省</w:t>
      </w:r>
      <w:r>
        <w:rPr>
          <w:rFonts w:hint="eastAsia" w:cs="Times New Roman"/>
        </w:rPr>
        <w:t>阿坝</w:t>
      </w:r>
      <w:r>
        <w:rPr>
          <w:rFonts w:cs="Times New Roman"/>
        </w:rPr>
        <w:t>藏族羌族自治州</w:t>
      </w:r>
      <w:r>
        <w:rPr>
          <w:rFonts w:hint="eastAsia" w:cs="Times New Roman"/>
        </w:rPr>
        <w:t>阿坝</w:t>
      </w:r>
      <w:r>
        <w:rPr>
          <w:rFonts w:cs="Times New Roman"/>
        </w:rPr>
        <w:t>县</w:t>
      </w:r>
      <w:r>
        <w:rPr>
          <w:rFonts w:hint="eastAsia" w:cs="Times New Roman"/>
        </w:rPr>
        <w:t>西北</w:t>
      </w:r>
      <w:r>
        <w:rPr>
          <w:rFonts w:cs="Times New Roman"/>
        </w:rPr>
        <w:t>部，地理坐标介于东经101°8′42″-101°18′54′′，北纬33°2′47′′-33°9′57′′之间</w:t>
      </w:r>
      <w:r>
        <w:rPr>
          <w:rFonts w:hint="eastAsia" w:cs="Times New Roman"/>
        </w:rPr>
        <w:t>，总面积3668.49</w:t>
      </w:r>
      <w:r>
        <w:rPr>
          <w:rFonts w:cs="Times New Roman"/>
        </w:rPr>
        <w:t xml:space="preserve"> </w:t>
      </w:r>
      <w:r>
        <w:rPr>
          <w:rFonts w:hint="eastAsia" w:cs="Times New Roman"/>
        </w:rPr>
        <w:t>hm</w:t>
      </w:r>
      <w:r>
        <w:rPr>
          <w:rFonts w:hint="eastAsia" w:cs="Times New Roman"/>
          <w:vertAlign w:val="superscript"/>
        </w:rPr>
        <w:t>2</w:t>
      </w:r>
      <w:r>
        <w:rPr>
          <w:rFonts w:hint="eastAsia" w:cs="Times New Roman"/>
        </w:rPr>
        <w:t>。公园最低海拔约3620</w:t>
      </w:r>
      <w:r>
        <w:rPr>
          <w:rFonts w:cs="Times New Roman"/>
        </w:rPr>
        <w:t xml:space="preserve"> </w:t>
      </w:r>
      <w:r>
        <w:rPr>
          <w:rFonts w:hint="eastAsia" w:cs="Times New Roman"/>
        </w:rPr>
        <w:t>m，位于湿地公园东南部的两河口附近，最高海拔4400</w:t>
      </w:r>
      <w:r>
        <w:rPr>
          <w:rFonts w:cs="Times New Roman"/>
        </w:rPr>
        <w:t xml:space="preserve"> </w:t>
      </w:r>
      <w:r>
        <w:rPr>
          <w:rFonts w:hint="eastAsia" w:cs="Times New Roman"/>
        </w:rPr>
        <w:t>m，海拔高差接近800</w:t>
      </w:r>
      <w:r>
        <w:rPr>
          <w:rFonts w:cs="Times New Roman"/>
        </w:rPr>
        <w:t xml:space="preserve"> </w:t>
      </w:r>
      <w:r>
        <w:rPr>
          <w:rFonts w:hint="eastAsia" w:cs="Times New Roman"/>
        </w:rPr>
        <w:t>m。</w:t>
      </w:r>
    </w:p>
    <w:p>
      <w:pPr>
        <w:ind w:firstLine="482"/>
        <w:rPr>
          <w:rFonts w:cs="Times New Roman"/>
          <w:b/>
        </w:rPr>
      </w:pPr>
      <w:r>
        <w:rPr>
          <w:rFonts w:cs="Times New Roman"/>
          <w:b/>
        </w:rPr>
        <w:t>2、湿地公园范围</w:t>
      </w:r>
    </w:p>
    <w:p>
      <w:pPr>
        <w:ind w:firstLine="480"/>
        <w:jc w:val="left"/>
        <w:rPr>
          <w:rFonts w:cs="Times New Roman"/>
        </w:rPr>
      </w:pPr>
      <w:r>
        <w:rPr>
          <w:rFonts w:hint="eastAsia" w:cs="Times New Roman"/>
        </w:rPr>
        <w:t>行政区域上，湿地公园隶属于阿坝县的安斗乡。湿地公园由扎嘎尔沟沟谷及其两岸部分支流以及章木沟沟谷及其两岸部分支流共同构成，其东南起自扎嘎尔沟和章木沟交汇处下游约500</w:t>
      </w:r>
      <w:r>
        <w:rPr>
          <w:rFonts w:cs="Times New Roman"/>
        </w:rPr>
        <w:t xml:space="preserve"> </w:t>
      </w:r>
      <w:r>
        <w:rPr>
          <w:rFonts w:hint="eastAsia" w:cs="Times New Roman"/>
        </w:rPr>
        <w:t>m处，西至与青海省交界处附近，章木沟由西北向东南纵贯湿地公园全境，扎嘎尔沟由西向东纵贯湿地公园全境。其四至边界为：两河口下游约500</w:t>
      </w:r>
      <w:r>
        <w:rPr>
          <w:rFonts w:cs="Times New Roman"/>
        </w:rPr>
        <w:t xml:space="preserve"> </w:t>
      </w:r>
      <w:r>
        <w:rPr>
          <w:rFonts w:hint="eastAsia" w:cs="Times New Roman"/>
        </w:rPr>
        <w:t>m处始，沿公路至3640</w:t>
      </w:r>
      <w:r>
        <w:rPr>
          <w:rFonts w:cs="Times New Roman"/>
        </w:rPr>
        <w:t xml:space="preserve"> </w:t>
      </w:r>
      <w:r>
        <w:rPr>
          <w:rFonts w:hint="eastAsia" w:cs="Times New Roman"/>
        </w:rPr>
        <w:t>m等高线，沿3640</w:t>
      </w:r>
      <w:r>
        <w:rPr>
          <w:rFonts w:cs="Times New Roman"/>
        </w:rPr>
        <w:t xml:space="preserve"> </w:t>
      </w:r>
      <w:r>
        <w:rPr>
          <w:rFonts w:hint="eastAsia" w:cs="Times New Roman"/>
        </w:rPr>
        <w:t>m等高线至广草坪，再沿3680</w:t>
      </w:r>
      <w:r>
        <w:rPr>
          <w:rFonts w:cs="Times New Roman"/>
        </w:rPr>
        <w:t xml:space="preserve"> </w:t>
      </w:r>
      <w:r>
        <w:rPr>
          <w:rFonts w:hint="eastAsia" w:cs="Times New Roman"/>
        </w:rPr>
        <w:t>m等高线至夹壁岩，而后顺山脊至3800</w:t>
      </w:r>
      <w:r>
        <w:rPr>
          <w:rFonts w:cs="Times New Roman"/>
        </w:rPr>
        <w:t xml:space="preserve"> </w:t>
      </w:r>
      <w:r>
        <w:rPr>
          <w:rFonts w:hint="eastAsia" w:cs="Times New Roman"/>
        </w:rPr>
        <w:t>m等高线，沿3800</w:t>
      </w:r>
      <w:r>
        <w:rPr>
          <w:rFonts w:cs="Times New Roman"/>
        </w:rPr>
        <w:t xml:space="preserve"> </w:t>
      </w:r>
      <w:r>
        <w:rPr>
          <w:rFonts w:hint="eastAsia" w:cs="Times New Roman"/>
        </w:rPr>
        <w:t>m等高线至公路，沿公路一直到两路口，顺山脊至4400</w:t>
      </w:r>
      <w:r>
        <w:rPr>
          <w:rFonts w:cs="Times New Roman"/>
        </w:rPr>
        <w:t xml:space="preserve"> </w:t>
      </w:r>
      <w:r>
        <w:rPr>
          <w:rFonts w:hint="eastAsia" w:cs="Times New Roman"/>
        </w:rPr>
        <w:t>m等高线后，沿4400</w:t>
      </w:r>
      <w:r>
        <w:rPr>
          <w:rFonts w:cs="Times New Roman"/>
        </w:rPr>
        <w:t xml:space="preserve"> </w:t>
      </w:r>
      <w:r>
        <w:rPr>
          <w:rFonts w:hint="eastAsia" w:cs="Times New Roman"/>
        </w:rPr>
        <w:t>m等高线至放马坪后，沿山脊下至4200</w:t>
      </w:r>
      <w:r>
        <w:rPr>
          <w:rFonts w:cs="Times New Roman"/>
        </w:rPr>
        <w:t xml:space="preserve"> </w:t>
      </w:r>
      <w:r>
        <w:rPr>
          <w:rFonts w:hint="eastAsia" w:cs="Times New Roman"/>
        </w:rPr>
        <w:t>m等高线，顺4200</w:t>
      </w:r>
      <w:r>
        <w:rPr>
          <w:rFonts w:cs="Times New Roman"/>
        </w:rPr>
        <w:t xml:space="preserve"> </w:t>
      </w:r>
      <w:r>
        <w:rPr>
          <w:rFonts w:hint="eastAsia" w:cs="Times New Roman"/>
        </w:rPr>
        <w:t>m等高线至合璧山后，沿山脊下至公路，沿公路至恩章后，再沿山脊线上至4400</w:t>
      </w:r>
      <w:r>
        <w:rPr>
          <w:rFonts w:cs="Times New Roman"/>
        </w:rPr>
        <w:t xml:space="preserve"> </w:t>
      </w:r>
      <w:r>
        <w:rPr>
          <w:rFonts w:hint="eastAsia" w:cs="Times New Roman"/>
        </w:rPr>
        <w:t>m等高线至奇峰岭后，沿山脊下至4000</w:t>
      </w:r>
      <w:r>
        <w:rPr>
          <w:rFonts w:cs="Times New Roman"/>
        </w:rPr>
        <w:t xml:space="preserve"> </w:t>
      </w:r>
      <w:r>
        <w:rPr>
          <w:rFonts w:hint="eastAsia" w:cs="Times New Roman"/>
        </w:rPr>
        <w:t>m等高线后，顺4000</w:t>
      </w:r>
      <w:r>
        <w:rPr>
          <w:rFonts w:cs="Times New Roman"/>
        </w:rPr>
        <w:t xml:space="preserve"> </w:t>
      </w:r>
      <w:r>
        <w:rPr>
          <w:rFonts w:hint="eastAsia" w:cs="Times New Roman"/>
        </w:rPr>
        <w:t>m等高线至观雾山后，沿山脊下至3840</w:t>
      </w:r>
      <w:r>
        <w:rPr>
          <w:rFonts w:cs="Times New Roman"/>
        </w:rPr>
        <w:t xml:space="preserve"> </w:t>
      </w:r>
      <w:r>
        <w:rPr>
          <w:rFonts w:hint="eastAsia" w:cs="Times New Roman"/>
        </w:rPr>
        <w:t>m等高线，并沿该等高线至公路后，沿公路经两河口后至扎嘎后，顺小山脊至4400</w:t>
      </w:r>
      <w:r>
        <w:rPr>
          <w:rFonts w:cs="Times New Roman"/>
        </w:rPr>
        <w:t xml:space="preserve"> </w:t>
      </w:r>
      <w:r>
        <w:rPr>
          <w:rFonts w:hint="eastAsia" w:cs="Times New Roman"/>
        </w:rPr>
        <w:t>m等高线后，沿4400</w:t>
      </w:r>
      <w:r>
        <w:rPr>
          <w:rFonts w:cs="Times New Roman"/>
        </w:rPr>
        <w:t xml:space="preserve"> </w:t>
      </w:r>
      <w:r>
        <w:rPr>
          <w:rFonts w:hint="eastAsia" w:cs="Times New Roman"/>
        </w:rPr>
        <w:t>m等高线至望湖岭后，沿望湖岭山脊下至4200</w:t>
      </w:r>
      <w:r>
        <w:rPr>
          <w:rFonts w:cs="Times New Roman"/>
        </w:rPr>
        <w:t xml:space="preserve"> </w:t>
      </w:r>
      <w:r>
        <w:rPr>
          <w:rFonts w:hint="eastAsia" w:cs="Times New Roman"/>
        </w:rPr>
        <w:t>m等高线，并沿4200</w:t>
      </w:r>
      <w:r>
        <w:rPr>
          <w:rFonts w:cs="Times New Roman"/>
        </w:rPr>
        <w:t xml:space="preserve"> </w:t>
      </w:r>
      <w:r>
        <w:rPr>
          <w:rFonts w:hint="eastAsia" w:cs="Times New Roman"/>
        </w:rPr>
        <w:t>m等高线至万韧后，沿山脊下至4000</w:t>
      </w:r>
      <w:r>
        <w:rPr>
          <w:rFonts w:cs="Times New Roman"/>
        </w:rPr>
        <w:t xml:space="preserve"> </w:t>
      </w:r>
      <w:r>
        <w:rPr>
          <w:rFonts w:hint="eastAsia" w:cs="Times New Roman"/>
        </w:rPr>
        <w:t>m等高线，并沿4000</w:t>
      </w:r>
      <w:r>
        <w:rPr>
          <w:rFonts w:cs="Times New Roman"/>
        </w:rPr>
        <w:t xml:space="preserve"> </w:t>
      </w:r>
      <w:r>
        <w:rPr>
          <w:rFonts w:hint="eastAsia" w:cs="Times New Roman"/>
        </w:rPr>
        <w:t>m等高线至褶皱山后，沿褶皱山山脊下至3640</w:t>
      </w:r>
      <w:r>
        <w:rPr>
          <w:rFonts w:cs="Times New Roman"/>
        </w:rPr>
        <w:t xml:space="preserve"> </w:t>
      </w:r>
      <w:r>
        <w:rPr>
          <w:rFonts w:hint="eastAsia" w:cs="Times New Roman"/>
        </w:rPr>
        <w:t>m等高线至两河口下游约500</w:t>
      </w:r>
      <w:r>
        <w:rPr>
          <w:rFonts w:cs="Times New Roman"/>
        </w:rPr>
        <w:t xml:space="preserve"> </w:t>
      </w:r>
      <w:r>
        <w:rPr>
          <w:rFonts w:hint="eastAsia" w:cs="Times New Roman"/>
        </w:rPr>
        <w:t>m处后与左岸公路封闭。</w:t>
      </w:r>
    </w:p>
    <w:p>
      <w:pPr>
        <w:pStyle w:val="3"/>
        <w:numPr>
          <w:ilvl w:val="1"/>
          <w:numId w:val="0"/>
        </w:numPr>
        <w:ind w:leftChars="0"/>
        <w:rPr>
          <w:rFonts w:cs="Times New Roman"/>
        </w:rPr>
      </w:pPr>
      <w:bookmarkStart w:id="15" w:name="_Toc30039"/>
      <w:r>
        <w:rPr>
          <w:rFonts w:hint="eastAsia" w:cs="Times New Roman"/>
          <w:lang w:val="en-US" w:eastAsia="zh-CN"/>
        </w:rPr>
        <w:t xml:space="preserve">3.3 </w:t>
      </w:r>
      <w:r>
        <w:rPr>
          <w:rFonts w:hint="eastAsia" w:cs="Times New Roman"/>
        </w:rPr>
        <w:t>湿地资源</w:t>
      </w:r>
      <w:bookmarkEnd w:id="15"/>
    </w:p>
    <w:p>
      <w:pPr>
        <w:pStyle w:val="5"/>
        <w:numPr>
          <w:ilvl w:val="2"/>
          <w:numId w:val="0"/>
        </w:numPr>
        <w:ind w:leftChars="0"/>
        <w:rPr>
          <w:rFonts w:cs="Times New Roman"/>
        </w:rPr>
      </w:pPr>
      <w:r>
        <w:rPr>
          <w:rFonts w:hint="eastAsia" w:cs="Times New Roman"/>
          <w:lang w:val="en-US" w:eastAsia="zh-CN"/>
        </w:rPr>
        <w:t xml:space="preserve">3.3.1 </w:t>
      </w:r>
      <w:r>
        <w:rPr>
          <w:rFonts w:cs="Times New Roman"/>
        </w:rPr>
        <w:t>湿地类型、面积与分布</w:t>
      </w:r>
    </w:p>
    <w:p>
      <w:pPr>
        <w:ind w:firstLine="480"/>
        <w:rPr>
          <w:rFonts w:cs="Times New Roman"/>
        </w:rPr>
      </w:pPr>
      <w:r>
        <w:rPr>
          <w:rFonts w:hint="eastAsia" w:cs="Times New Roman"/>
        </w:rPr>
        <w:t>在详细调查的基础上，按照《全国湿地资源调查技术规程（试行）》（国家林业局，2009年）的湿地分类系统，将湿地公园现有的湿地类型划分为3类5型，大类包括河流湿地、湖泊湿地和沼泽湿地。其中河流湿地属于永久性的河流湿地，包括莲宝叶则主河道及其两岸部分支流，湖泊湿地属永久性淡水湖泊湿地，沼泽湿地包括草本沼泽湿地、灌丛沼泽湿地和沼泽化草甸湿地3种类型。</w:t>
      </w:r>
    </w:p>
    <w:p>
      <w:pPr>
        <w:ind w:firstLine="480"/>
        <w:rPr>
          <w:rFonts w:cs="Times New Roman"/>
        </w:rPr>
      </w:pPr>
      <w:r>
        <w:rPr>
          <w:rFonts w:hint="eastAsia" w:cs="Times New Roman"/>
        </w:rPr>
        <w:t>经卫片解译植被图计算，湿地公园各类湿地总面积约为1201.11</w:t>
      </w:r>
      <w:r>
        <w:rPr>
          <w:rFonts w:cs="Times New Roman"/>
        </w:rPr>
        <w:t xml:space="preserve"> </w:t>
      </w:r>
      <w:r>
        <w:rPr>
          <w:rFonts w:hint="eastAsia" w:cs="Times New Roman"/>
        </w:rPr>
        <w:t>hm</w:t>
      </w:r>
      <w:r>
        <w:rPr>
          <w:rFonts w:hint="eastAsia" w:cs="Times New Roman"/>
          <w:vertAlign w:val="superscript"/>
        </w:rPr>
        <w:t>2</w:t>
      </w:r>
      <w:r>
        <w:rPr>
          <w:rFonts w:hint="eastAsia" w:cs="Times New Roman"/>
        </w:rPr>
        <w:t>，约占湿地公园总面积的32.74%。其中，河流湿地总面积约为41.63</w:t>
      </w:r>
      <w:r>
        <w:rPr>
          <w:rFonts w:cs="Times New Roman"/>
        </w:rPr>
        <w:t xml:space="preserve"> </w:t>
      </w:r>
      <w:r>
        <w:rPr>
          <w:rFonts w:hint="eastAsia" w:cs="Times New Roman"/>
        </w:rPr>
        <w:t>hm</w:t>
      </w:r>
      <w:r>
        <w:rPr>
          <w:rFonts w:hint="eastAsia" w:cs="Times New Roman"/>
          <w:vertAlign w:val="superscript"/>
        </w:rPr>
        <w:t>2</w:t>
      </w:r>
      <w:r>
        <w:rPr>
          <w:rFonts w:hint="eastAsia" w:cs="Times New Roman"/>
        </w:rPr>
        <w:t>，约占湿地公园总面积的1.13%，由莲宝叶则主河道及其两岸部分支流构成；湖泊湿地总面积约为37.41</w:t>
      </w:r>
      <w:r>
        <w:rPr>
          <w:rFonts w:cs="Times New Roman"/>
        </w:rPr>
        <w:t xml:space="preserve"> </w:t>
      </w:r>
      <w:r>
        <w:rPr>
          <w:rFonts w:hint="eastAsia" w:cs="Times New Roman"/>
        </w:rPr>
        <w:t>hm</w:t>
      </w:r>
      <w:r>
        <w:rPr>
          <w:rFonts w:hint="eastAsia" w:cs="Times New Roman"/>
          <w:vertAlign w:val="superscript"/>
        </w:rPr>
        <w:t>2</w:t>
      </w:r>
      <w:r>
        <w:rPr>
          <w:rFonts w:hint="eastAsia" w:cs="Times New Roman"/>
        </w:rPr>
        <w:t>，占湿地公园总面积的1.02%，最大的扎嘎尔措面积约为26.47 hm</w:t>
      </w:r>
      <w:r>
        <w:rPr>
          <w:rFonts w:hint="eastAsia" w:cs="Times New Roman"/>
          <w:vertAlign w:val="superscript"/>
        </w:rPr>
        <w:t>2</w:t>
      </w:r>
      <w:r>
        <w:rPr>
          <w:rFonts w:hint="eastAsia" w:cs="Times New Roman"/>
        </w:rPr>
        <w:t>；沼泽湿地总面积约为1122.07</w:t>
      </w:r>
      <w:r>
        <w:rPr>
          <w:rFonts w:cs="Times New Roman"/>
        </w:rPr>
        <w:t xml:space="preserve"> </w:t>
      </w:r>
      <w:r>
        <w:rPr>
          <w:rFonts w:hint="eastAsia" w:cs="Times New Roman"/>
        </w:rPr>
        <w:t>hm</w:t>
      </w:r>
      <w:r>
        <w:rPr>
          <w:rFonts w:hint="eastAsia" w:cs="Times New Roman"/>
          <w:vertAlign w:val="superscript"/>
        </w:rPr>
        <w:t>2</w:t>
      </w:r>
      <w:r>
        <w:rPr>
          <w:rFonts w:hint="eastAsia" w:cs="Times New Roman"/>
        </w:rPr>
        <w:t>，约占湿地公园总面积的30.59%。</w:t>
      </w:r>
    </w:p>
    <w:p>
      <w:pPr>
        <w:pStyle w:val="5"/>
        <w:numPr>
          <w:ilvl w:val="2"/>
          <w:numId w:val="0"/>
        </w:numPr>
        <w:ind w:leftChars="0"/>
        <w:rPr>
          <w:rFonts w:cs="Times New Roman"/>
        </w:rPr>
      </w:pPr>
      <w:r>
        <w:rPr>
          <w:rFonts w:hint="eastAsia" w:cs="Times New Roman"/>
          <w:lang w:val="en-US" w:eastAsia="zh-CN"/>
        </w:rPr>
        <w:t xml:space="preserve">3.3.2 </w:t>
      </w:r>
      <w:r>
        <w:rPr>
          <w:rFonts w:cs="Times New Roman"/>
        </w:rPr>
        <w:t>湿地生物多样性</w:t>
      </w:r>
    </w:p>
    <w:p>
      <w:pPr>
        <w:pStyle w:val="6"/>
        <w:numPr>
          <w:ilvl w:val="3"/>
          <w:numId w:val="0"/>
        </w:numPr>
        <w:ind w:leftChars="0"/>
      </w:pPr>
      <w:r>
        <w:rPr>
          <w:rFonts w:hint="eastAsia"/>
          <w:lang w:val="en-US" w:eastAsia="zh-CN"/>
        </w:rPr>
        <w:t xml:space="preserve">3.3.2.1 </w:t>
      </w:r>
      <w:r>
        <w:t>植物资源</w:t>
      </w:r>
    </w:p>
    <w:p>
      <w:pPr>
        <w:adjustRightInd w:val="0"/>
        <w:snapToGrid w:val="0"/>
        <w:ind w:firstLine="482"/>
        <w:rPr>
          <w:rFonts w:cs="Times New Roman"/>
          <w:b/>
          <w:szCs w:val="24"/>
        </w:rPr>
      </w:pPr>
      <w:r>
        <w:rPr>
          <w:rFonts w:cs="Times New Roman"/>
          <w:b/>
          <w:szCs w:val="24"/>
        </w:rPr>
        <w:t>1、植物种类</w:t>
      </w:r>
    </w:p>
    <w:p>
      <w:pPr>
        <w:ind w:firstLine="480"/>
        <w:jc w:val="left"/>
        <w:rPr>
          <w:rFonts w:cs="Times New Roman"/>
        </w:rPr>
      </w:pPr>
      <w:r>
        <w:rPr>
          <w:rFonts w:hint="eastAsia" w:cs="Times New Roman"/>
        </w:rPr>
        <w:t>经对四川莲宝叶则国家湿地公园內植物多样性的实地调查，整理出该区有分布的高等植物名录</w:t>
      </w:r>
      <w:r>
        <w:rPr>
          <w:rFonts w:hint="eastAsia" w:cs="Times New Roman"/>
          <w:highlight w:val="none"/>
        </w:rPr>
        <w:t>（附</w:t>
      </w:r>
      <w:r>
        <w:rPr>
          <w:rFonts w:hint="eastAsia" w:cs="Times New Roman"/>
          <w:highlight w:val="none"/>
          <w:lang w:val="en-US" w:eastAsia="zh-CN"/>
        </w:rPr>
        <w:t>表</w:t>
      </w:r>
      <w:r>
        <w:rPr>
          <w:rFonts w:hint="eastAsia" w:cs="Times New Roman"/>
          <w:highlight w:val="none"/>
        </w:rPr>
        <w:t>1）</w:t>
      </w:r>
      <w:r>
        <w:rPr>
          <w:rFonts w:hint="eastAsia" w:cs="Times New Roman"/>
        </w:rPr>
        <w:t>。根据名录统计，湿地公园內的高等植物有57 科112属179种，其中苔藓植物7科8属9种，蕨类植物9科10属14种，裸子植物3科3属4种，被子植物38科91属152种（表</w:t>
      </w:r>
      <w:r>
        <w:rPr>
          <w:rFonts w:hint="eastAsia" w:cs="Times New Roman"/>
          <w:lang w:val="en-US" w:eastAsia="zh-CN"/>
        </w:rPr>
        <w:t>3</w:t>
      </w:r>
      <w:r>
        <w:rPr>
          <w:rFonts w:hint="eastAsia" w:cs="Times New Roman"/>
        </w:rPr>
        <w:t>-</w:t>
      </w:r>
      <w:r>
        <w:rPr>
          <w:rFonts w:cs="Times New Roman"/>
        </w:rPr>
        <w:t>1</w:t>
      </w:r>
      <w:r>
        <w:rPr>
          <w:rFonts w:hint="eastAsia" w:cs="Times New Roman"/>
        </w:rPr>
        <w:t>）。</w:t>
      </w:r>
    </w:p>
    <w:p>
      <w:pPr>
        <w:spacing w:line="560" w:lineRule="exact"/>
        <w:ind w:firstLine="0" w:firstLineChars="0"/>
        <w:jc w:val="center"/>
        <w:rPr>
          <w:b/>
          <w:szCs w:val="21"/>
        </w:rPr>
      </w:pPr>
      <w:r>
        <w:rPr>
          <w:b/>
          <w:szCs w:val="21"/>
        </w:rPr>
        <w:t>表</w:t>
      </w:r>
      <w:r>
        <w:rPr>
          <w:rFonts w:hint="eastAsia"/>
          <w:b/>
          <w:szCs w:val="21"/>
          <w:lang w:val="en-US" w:eastAsia="zh-CN"/>
        </w:rPr>
        <w:t>3</w:t>
      </w:r>
      <w:r>
        <w:rPr>
          <w:b/>
          <w:szCs w:val="21"/>
        </w:rPr>
        <w:t>-1</w:t>
      </w:r>
      <w:r>
        <w:rPr>
          <w:rFonts w:hint="eastAsia"/>
          <w:b/>
          <w:szCs w:val="21"/>
        </w:rPr>
        <w:t>莲宝叶则</w:t>
      </w:r>
      <w:r>
        <w:rPr>
          <w:b/>
          <w:szCs w:val="21"/>
        </w:rPr>
        <w:t>湿地公园高等植物科属种统计表</w:t>
      </w:r>
    </w:p>
    <w:tbl>
      <w:tblPr>
        <w:tblStyle w:val="4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5"/>
        <w:gridCol w:w="2075"/>
        <w:gridCol w:w="2076"/>
        <w:gridCol w:w="20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75" w:type="dxa"/>
            <w:vAlign w:val="center"/>
          </w:tcPr>
          <w:p>
            <w:pPr>
              <w:spacing w:line="240" w:lineRule="auto"/>
              <w:ind w:firstLine="0" w:firstLineChars="0"/>
              <w:jc w:val="center"/>
              <w:rPr>
                <w:rFonts w:asciiTheme="minorHAnsi" w:hAnsiTheme="minorHAnsi" w:eastAsiaTheme="minorEastAsia"/>
                <w:b/>
                <w:bCs/>
                <w:sz w:val="21"/>
                <w:szCs w:val="21"/>
              </w:rPr>
            </w:pPr>
            <w:r>
              <w:rPr>
                <w:rFonts w:hint="eastAsia" w:asciiTheme="minorHAnsi" w:hAnsiTheme="minorHAnsi" w:eastAsiaTheme="minorEastAsia"/>
                <w:b/>
                <w:bCs/>
                <w:sz w:val="21"/>
                <w:szCs w:val="21"/>
              </w:rPr>
              <w:t>植物类群</w:t>
            </w:r>
          </w:p>
        </w:tc>
        <w:tc>
          <w:tcPr>
            <w:tcW w:w="2075" w:type="dxa"/>
            <w:vAlign w:val="center"/>
          </w:tcPr>
          <w:p>
            <w:pPr>
              <w:spacing w:line="240" w:lineRule="auto"/>
              <w:ind w:firstLine="0" w:firstLineChars="0"/>
              <w:jc w:val="center"/>
              <w:rPr>
                <w:rFonts w:asciiTheme="minorHAnsi" w:hAnsiTheme="minorHAnsi" w:eastAsiaTheme="minorEastAsia"/>
                <w:b/>
                <w:bCs/>
                <w:sz w:val="21"/>
                <w:szCs w:val="21"/>
              </w:rPr>
            </w:pPr>
            <w:r>
              <w:rPr>
                <w:rFonts w:hint="eastAsia" w:asciiTheme="minorHAnsi" w:hAnsiTheme="minorHAnsi" w:eastAsiaTheme="minorEastAsia"/>
                <w:b/>
                <w:bCs/>
                <w:sz w:val="21"/>
                <w:szCs w:val="21"/>
              </w:rPr>
              <w:t>科</w:t>
            </w:r>
          </w:p>
        </w:tc>
        <w:tc>
          <w:tcPr>
            <w:tcW w:w="2076" w:type="dxa"/>
            <w:vAlign w:val="center"/>
          </w:tcPr>
          <w:p>
            <w:pPr>
              <w:spacing w:line="240" w:lineRule="auto"/>
              <w:ind w:firstLine="0" w:firstLineChars="0"/>
              <w:jc w:val="center"/>
              <w:rPr>
                <w:rFonts w:asciiTheme="minorHAnsi" w:hAnsiTheme="minorHAnsi" w:eastAsiaTheme="minorEastAsia"/>
                <w:b/>
                <w:bCs/>
                <w:sz w:val="21"/>
                <w:szCs w:val="21"/>
              </w:rPr>
            </w:pPr>
            <w:r>
              <w:rPr>
                <w:rFonts w:hint="eastAsia" w:asciiTheme="minorHAnsi" w:hAnsiTheme="minorHAnsi" w:eastAsiaTheme="minorEastAsia"/>
                <w:b/>
                <w:bCs/>
                <w:sz w:val="21"/>
                <w:szCs w:val="21"/>
              </w:rPr>
              <w:t>属</w:t>
            </w:r>
          </w:p>
        </w:tc>
        <w:tc>
          <w:tcPr>
            <w:tcW w:w="2076" w:type="dxa"/>
            <w:vAlign w:val="center"/>
          </w:tcPr>
          <w:p>
            <w:pPr>
              <w:spacing w:line="240" w:lineRule="auto"/>
              <w:ind w:firstLine="0" w:firstLineChars="0"/>
              <w:jc w:val="center"/>
              <w:rPr>
                <w:rFonts w:asciiTheme="minorHAnsi" w:hAnsiTheme="minorHAnsi" w:eastAsiaTheme="minorEastAsia"/>
                <w:b/>
                <w:bCs/>
                <w:sz w:val="21"/>
                <w:szCs w:val="21"/>
              </w:rPr>
            </w:pPr>
            <w:r>
              <w:rPr>
                <w:rFonts w:hint="eastAsia" w:asciiTheme="minorHAnsi" w:hAnsiTheme="minorHAnsi" w:eastAsiaTheme="minorEastAsia"/>
                <w:b/>
                <w:bCs/>
                <w:sz w:val="21"/>
                <w:szCs w:val="21"/>
              </w:rPr>
              <w:t>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75" w:type="dxa"/>
            <w:vAlign w:val="center"/>
          </w:tcPr>
          <w:p>
            <w:pPr>
              <w:spacing w:line="240" w:lineRule="auto"/>
              <w:ind w:firstLine="0" w:firstLineChars="0"/>
              <w:jc w:val="center"/>
              <w:rPr>
                <w:rFonts w:asciiTheme="minorHAnsi" w:hAnsiTheme="minorHAnsi" w:eastAsiaTheme="minorEastAsia"/>
                <w:sz w:val="21"/>
                <w:szCs w:val="21"/>
              </w:rPr>
            </w:pPr>
            <w:r>
              <w:rPr>
                <w:rFonts w:hint="eastAsia" w:asciiTheme="minorHAnsi" w:hAnsiTheme="minorHAnsi" w:eastAsiaTheme="minorEastAsia"/>
                <w:sz w:val="21"/>
                <w:szCs w:val="21"/>
              </w:rPr>
              <w:t>苔藓植物</w:t>
            </w:r>
          </w:p>
        </w:tc>
        <w:tc>
          <w:tcPr>
            <w:tcW w:w="2075" w:type="dxa"/>
            <w:vAlign w:val="center"/>
          </w:tcPr>
          <w:p>
            <w:pPr>
              <w:spacing w:line="240" w:lineRule="auto"/>
              <w:ind w:firstLine="0" w:firstLineChars="0"/>
              <w:jc w:val="center"/>
              <w:rPr>
                <w:rFonts w:asciiTheme="minorHAnsi" w:hAnsiTheme="minorHAnsi" w:eastAsiaTheme="minorEastAsia"/>
                <w:sz w:val="21"/>
                <w:szCs w:val="21"/>
              </w:rPr>
            </w:pPr>
            <w:r>
              <w:rPr>
                <w:rFonts w:hint="eastAsia" w:asciiTheme="minorHAnsi" w:hAnsiTheme="minorHAnsi" w:eastAsiaTheme="minorEastAsia"/>
                <w:sz w:val="21"/>
                <w:szCs w:val="21"/>
              </w:rPr>
              <w:t>7</w:t>
            </w:r>
          </w:p>
        </w:tc>
        <w:tc>
          <w:tcPr>
            <w:tcW w:w="2076" w:type="dxa"/>
            <w:vAlign w:val="center"/>
          </w:tcPr>
          <w:p>
            <w:pPr>
              <w:spacing w:line="240" w:lineRule="auto"/>
              <w:ind w:firstLine="0" w:firstLineChars="0"/>
              <w:jc w:val="center"/>
              <w:rPr>
                <w:rFonts w:asciiTheme="minorHAnsi" w:hAnsiTheme="minorHAnsi" w:eastAsiaTheme="minorEastAsia"/>
                <w:sz w:val="21"/>
                <w:szCs w:val="21"/>
              </w:rPr>
            </w:pPr>
            <w:r>
              <w:rPr>
                <w:rFonts w:hint="eastAsia" w:asciiTheme="minorHAnsi" w:hAnsiTheme="minorHAnsi" w:eastAsiaTheme="minorEastAsia"/>
                <w:sz w:val="21"/>
                <w:szCs w:val="21"/>
              </w:rPr>
              <w:t>8</w:t>
            </w:r>
          </w:p>
        </w:tc>
        <w:tc>
          <w:tcPr>
            <w:tcW w:w="2076" w:type="dxa"/>
            <w:vAlign w:val="center"/>
          </w:tcPr>
          <w:p>
            <w:pPr>
              <w:spacing w:line="240" w:lineRule="auto"/>
              <w:ind w:firstLine="0" w:firstLineChars="0"/>
              <w:jc w:val="center"/>
              <w:rPr>
                <w:rFonts w:asciiTheme="minorHAnsi" w:hAnsiTheme="minorHAnsi" w:eastAsiaTheme="minorEastAsia"/>
                <w:sz w:val="21"/>
                <w:szCs w:val="21"/>
              </w:rPr>
            </w:pPr>
            <w:r>
              <w:rPr>
                <w:rFonts w:hint="eastAsia" w:asciiTheme="minorHAnsi" w:hAnsiTheme="minorHAnsi" w:eastAsiaTheme="minorEastAsia"/>
                <w:sz w:val="21"/>
                <w:szCs w:val="21"/>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75" w:type="dxa"/>
            <w:vAlign w:val="center"/>
          </w:tcPr>
          <w:p>
            <w:pPr>
              <w:spacing w:line="240" w:lineRule="auto"/>
              <w:ind w:firstLine="0" w:firstLineChars="0"/>
              <w:jc w:val="center"/>
              <w:rPr>
                <w:rFonts w:asciiTheme="minorHAnsi" w:hAnsiTheme="minorHAnsi" w:eastAsiaTheme="minorEastAsia"/>
                <w:sz w:val="21"/>
                <w:szCs w:val="21"/>
              </w:rPr>
            </w:pPr>
            <w:r>
              <w:rPr>
                <w:rFonts w:hint="eastAsia" w:asciiTheme="minorHAnsi" w:hAnsiTheme="minorHAnsi" w:eastAsiaTheme="minorEastAsia"/>
                <w:sz w:val="21"/>
                <w:szCs w:val="21"/>
              </w:rPr>
              <w:t>蕨类植物</w:t>
            </w:r>
          </w:p>
        </w:tc>
        <w:tc>
          <w:tcPr>
            <w:tcW w:w="2075" w:type="dxa"/>
            <w:vAlign w:val="center"/>
          </w:tcPr>
          <w:p>
            <w:pPr>
              <w:spacing w:line="240" w:lineRule="auto"/>
              <w:ind w:firstLine="0" w:firstLineChars="0"/>
              <w:jc w:val="center"/>
              <w:rPr>
                <w:rFonts w:asciiTheme="minorHAnsi" w:hAnsiTheme="minorHAnsi" w:eastAsiaTheme="minorEastAsia"/>
                <w:sz w:val="21"/>
                <w:szCs w:val="21"/>
              </w:rPr>
            </w:pPr>
            <w:r>
              <w:rPr>
                <w:rFonts w:hint="eastAsia" w:asciiTheme="minorHAnsi" w:hAnsiTheme="minorHAnsi" w:eastAsiaTheme="minorEastAsia"/>
                <w:sz w:val="21"/>
                <w:szCs w:val="21"/>
              </w:rPr>
              <w:t>9</w:t>
            </w:r>
          </w:p>
        </w:tc>
        <w:tc>
          <w:tcPr>
            <w:tcW w:w="2076" w:type="dxa"/>
            <w:vAlign w:val="center"/>
          </w:tcPr>
          <w:p>
            <w:pPr>
              <w:spacing w:line="240" w:lineRule="auto"/>
              <w:ind w:firstLine="0" w:firstLineChars="0"/>
              <w:jc w:val="center"/>
              <w:rPr>
                <w:rFonts w:asciiTheme="minorHAnsi" w:hAnsiTheme="minorHAnsi" w:eastAsiaTheme="minorEastAsia"/>
                <w:sz w:val="21"/>
                <w:szCs w:val="21"/>
              </w:rPr>
            </w:pPr>
            <w:r>
              <w:rPr>
                <w:rFonts w:hint="eastAsia" w:asciiTheme="minorHAnsi" w:hAnsiTheme="minorHAnsi" w:eastAsiaTheme="minorEastAsia"/>
                <w:sz w:val="21"/>
                <w:szCs w:val="21"/>
              </w:rPr>
              <w:t>1</w:t>
            </w:r>
            <w:r>
              <w:rPr>
                <w:rFonts w:asciiTheme="minorHAnsi" w:hAnsiTheme="minorHAnsi" w:eastAsiaTheme="minorEastAsia"/>
                <w:sz w:val="21"/>
                <w:szCs w:val="21"/>
              </w:rPr>
              <w:t>0</w:t>
            </w:r>
          </w:p>
        </w:tc>
        <w:tc>
          <w:tcPr>
            <w:tcW w:w="2076" w:type="dxa"/>
            <w:vAlign w:val="center"/>
          </w:tcPr>
          <w:p>
            <w:pPr>
              <w:spacing w:line="240" w:lineRule="auto"/>
              <w:ind w:firstLine="0" w:firstLineChars="0"/>
              <w:jc w:val="center"/>
              <w:rPr>
                <w:rFonts w:asciiTheme="minorHAnsi" w:hAnsiTheme="minorHAnsi" w:eastAsiaTheme="minorEastAsia"/>
                <w:sz w:val="21"/>
                <w:szCs w:val="21"/>
              </w:rPr>
            </w:pPr>
            <w:r>
              <w:rPr>
                <w:rFonts w:hint="eastAsia" w:asciiTheme="minorHAnsi" w:hAnsiTheme="minorHAnsi" w:eastAsiaTheme="minorEastAsia"/>
                <w:sz w:val="21"/>
                <w:szCs w:val="21"/>
              </w:rPr>
              <w:t>1</w:t>
            </w:r>
            <w:r>
              <w:rPr>
                <w:rFonts w:asciiTheme="minorHAnsi" w:hAnsiTheme="minorHAnsi" w:eastAsiaTheme="minorEastAsia"/>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75" w:type="dxa"/>
            <w:vAlign w:val="center"/>
          </w:tcPr>
          <w:p>
            <w:pPr>
              <w:spacing w:line="240" w:lineRule="auto"/>
              <w:ind w:firstLine="0" w:firstLineChars="0"/>
              <w:jc w:val="center"/>
              <w:rPr>
                <w:rFonts w:asciiTheme="minorHAnsi" w:hAnsiTheme="minorHAnsi" w:eastAsiaTheme="minorEastAsia"/>
                <w:sz w:val="21"/>
                <w:szCs w:val="21"/>
              </w:rPr>
            </w:pPr>
            <w:r>
              <w:rPr>
                <w:rFonts w:hint="eastAsia" w:asciiTheme="minorHAnsi" w:hAnsiTheme="minorHAnsi" w:eastAsiaTheme="minorEastAsia"/>
                <w:sz w:val="21"/>
                <w:szCs w:val="21"/>
              </w:rPr>
              <w:t>裸子植物</w:t>
            </w:r>
          </w:p>
        </w:tc>
        <w:tc>
          <w:tcPr>
            <w:tcW w:w="2075" w:type="dxa"/>
            <w:vAlign w:val="center"/>
          </w:tcPr>
          <w:p>
            <w:pPr>
              <w:spacing w:line="240" w:lineRule="auto"/>
              <w:ind w:firstLine="0" w:firstLineChars="0"/>
              <w:jc w:val="center"/>
              <w:rPr>
                <w:rFonts w:asciiTheme="minorHAnsi" w:hAnsiTheme="minorHAnsi" w:eastAsiaTheme="minorEastAsia"/>
                <w:sz w:val="21"/>
                <w:szCs w:val="21"/>
              </w:rPr>
            </w:pPr>
            <w:r>
              <w:rPr>
                <w:rFonts w:hint="eastAsia" w:asciiTheme="minorHAnsi" w:hAnsiTheme="minorHAnsi" w:eastAsiaTheme="minorEastAsia"/>
                <w:sz w:val="21"/>
                <w:szCs w:val="21"/>
              </w:rPr>
              <w:t>3</w:t>
            </w:r>
          </w:p>
        </w:tc>
        <w:tc>
          <w:tcPr>
            <w:tcW w:w="2076" w:type="dxa"/>
            <w:vAlign w:val="center"/>
          </w:tcPr>
          <w:p>
            <w:pPr>
              <w:spacing w:line="240" w:lineRule="auto"/>
              <w:ind w:firstLine="0" w:firstLineChars="0"/>
              <w:jc w:val="center"/>
              <w:rPr>
                <w:rFonts w:asciiTheme="minorHAnsi" w:hAnsiTheme="minorHAnsi" w:eastAsiaTheme="minorEastAsia"/>
                <w:sz w:val="21"/>
                <w:szCs w:val="21"/>
              </w:rPr>
            </w:pPr>
            <w:r>
              <w:rPr>
                <w:rFonts w:hint="eastAsia" w:asciiTheme="minorHAnsi" w:hAnsiTheme="minorHAnsi" w:eastAsiaTheme="minorEastAsia"/>
                <w:sz w:val="21"/>
                <w:szCs w:val="21"/>
              </w:rPr>
              <w:t>3</w:t>
            </w:r>
          </w:p>
        </w:tc>
        <w:tc>
          <w:tcPr>
            <w:tcW w:w="2076" w:type="dxa"/>
            <w:vAlign w:val="center"/>
          </w:tcPr>
          <w:p>
            <w:pPr>
              <w:spacing w:line="240" w:lineRule="auto"/>
              <w:ind w:firstLine="0" w:firstLineChars="0"/>
              <w:jc w:val="center"/>
              <w:rPr>
                <w:rFonts w:asciiTheme="minorHAnsi" w:hAnsiTheme="minorHAnsi" w:eastAsiaTheme="minorEastAsia"/>
                <w:sz w:val="21"/>
                <w:szCs w:val="21"/>
              </w:rPr>
            </w:pPr>
            <w:r>
              <w:rPr>
                <w:rFonts w:hint="eastAsia" w:asciiTheme="minorHAnsi" w:hAnsiTheme="minorHAnsi" w:eastAsiaTheme="minorEastAsia"/>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75" w:type="dxa"/>
            <w:vAlign w:val="center"/>
          </w:tcPr>
          <w:p>
            <w:pPr>
              <w:spacing w:line="240" w:lineRule="auto"/>
              <w:ind w:firstLine="0" w:firstLineChars="0"/>
              <w:jc w:val="center"/>
              <w:rPr>
                <w:rFonts w:asciiTheme="minorHAnsi" w:hAnsiTheme="minorHAnsi" w:eastAsiaTheme="minorEastAsia"/>
                <w:sz w:val="21"/>
                <w:szCs w:val="21"/>
              </w:rPr>
            </w:pPr>
            <w:r>
              <w:rPr>
                <w:rFonts w:hint="eastAsia" w:asciiTheme="minorHAnsi" w:hAnsiTheme="minorHAnsi" w:eastAsiaTheme="minorEastAsia"/>
                <w:sz w:val="21"/>
                <w:szCs w:val="21"/>
              </w:rPr>
              <w:t>被子植物（双子叶）</w:t>
            </w:r>
          </w:p>
        </w:tc>
        <w:tc>
          <w:tcPr>
            <w:tcW w:w="2075" w:type="dxa"/>
            <w:vAlign w:val="center"/>
          </w:tcPr>
          <w:p>
            <w:pPr>
              <w:spacing w:line="240" w:lineRule="auto"/>
              <w:ind w:firstLine="0" w:firstLineChars="0"/>
              <w:jc w:val="center"/>
              <w:rPr>
                <w:rFonts w:asciiTheme="minorHAnsi" w:hAnsiTheme="minorHAnsi" w:eastAsiaTheme="minorEastAsia"/>
                <w:sz w:val="21"/>
                <w:szCs w:val="21"/>
              </w:rPr>
            </w:pPr>
            <w:r>
              <w:rPr>
                <w:rFonts w:hint="eastAsia" w:asciiTheme="minorHAnsi" w:hAnsiTheme="minorHAnsi" w:eastAsiaTheme="minorEastAsia"/>
                <w:sz w:val="21"/>
                <w:szCs w:val="21"/>
              </w:rPr>
              <w:t>3</w:t>
            </w:r>
            <w:r>
              <w:rPr>
                <w:rFonts w:asciiTheme="minorHAnsi" w:hAnsiTheme="minorHAnsi" w:eastAsiaTheme="minorEastAsia"/>
                <w:sz w:val="21"/>
                <w:szCs w:val="21"/>
              </w:rPr>
              <w:t>0</w:t>
            </w:r>
          </w:p>
        </w:tc>
        <w:tc>
          <w:tcPr>
            <w:tcW w:w="2076" w:type="dxa"/>
            <w:vAlign w:val="center"/>
          </w:tcPr>
          <w:p>
            <w:pPr>
              <w:spacing w:line="240" w:lineRule="auto"/>
              <w:ind w:firstLine="0" w:firstLineChars="0"/>
              <w:jc w:val="center"/>
              <w:rPr>
                <w:rFonts w:asciiTheme="minorHAnsi" w:hAnsiTheme="minorHAnsi" w:eastAsiaTheme="minorEastAsia"/>
                <w:sz w:val="21"/>
                <w:szCs w:val="21"/>
              </w:rPr>
            </w:pPr>
            <w:r>
              <w:rPr>
                <w:rFonts w:asciiTheme="minorHAnsi" w:hAnsiTheme="minorHAnsi" w:eastAsiaTheme="minorEastAsia"/>
                <w:sz w:val="21"/>
                <w:szCs w:val="21"/>
              </w:rPr>
              <w:t>76</w:t>
            </w:r>
          </w:p>
        </w:tc>
        <w:tc>
          <w:tcPr>
            <w:tcW w:w="2076" w:type="dxa"/>
            <w:vAlign w:val="center"/>
          </w:tcPr>
          <w:p>
            <w:pPr>
              <w:spacing w:line="240" w:lineRule="auto"/>
              <w:ind w:firstLine="0" w:firstLineChars="0"/>
              <w:jc w:val="center"/>
              <w:rPr>
                <w:rFonts w:asciiTheme="minorHAnsi" w:hAnsiTheme="minorHAnsi" w:eastAsiaTheme="minorEastAsia"/>
                <w:sz w:val="21"/>
                <w:szCs w:val="21"/>
              </w:rPr>
            </w:pPr>
            <w:r>
              <w:rPr>
                <w:rFonts w:hint="eastAsia" w:asciiTheme="minorHAnsi" w:hAnsiTheme="minorHAnsi" w:eastAsiaTheme="minorEastAsia"/>
                <w:sz w:val="21"/>
                <w:szCs w:val="21"/>
              </w:rPr>
              <w:t>1</w:t>
            </w:r>
            <w:r>
              <w:rPr>
                <w:rFonts w:asciiTheme="minorHAnsi" w:hAnsiTheme="minorHAnsi" w:eastAsiaTheme="minorEastAsia"/>
                <w:sz w:val="21"/>
                <w:szCs w:val="21"/>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75" w:type="dxa"/>
            <w:vAlign w:val="center"/>
          </w:tcPr>
          <w:p>
            <w:pPr>
              <w:spacing w:line="240" w:lineRule="auto"/>
              <w:ind w:firstLine="0" w:firstLineChars="0"/>
              <w:jc w:val="center"/>
              <w:rPr>
                <w:rFonts w:asciiTheme="minorHAnsi" w:hAnsiTheme="minorHAnsi" w:eastAsiaTheme="minorEastAsia"/>
                <w:sz w:val="21"/>
                <w:szCs w:val="21"/>
              </w:rPr>
            </w:pPr>
            <w:r>
              <w:rPr>
                <w:rFonts w:hint="eastAsia" w:asciiTheme="minorHAnsi" w:hAnsiTheme="minorHAnsi" w:eastAsiaTheme="minorEastAsia"/>
                <w:sz w:val="21"/>
                <w:szCs w:val="21"/>
              </w:rPr>
              <w:t>被子植物（单子叶）</w:t>
            </w:r>
          </w:p>
        </w:tc>
        <w:tc>
          <w:tcPr>
            <w:tcW w:w="2075" w:type="dxa"/>
            <w:vAlign w:val="center"/>
          </w:tcPr>
          <w:p>
            <w:pPr>
              <w:spacing w:line="240" w:lineRule="auto"/>
              <w:ind w:firstLine="0" w:firstLineChars="0"/>
              <w:jc w:val="center"/>
              <w:rPr>
                <w:rFonts w:asciiTheme="minorHAnsi" w:hAnsiTheme="minorHAnsi" w:eastAsiaTheme="minorEastAsia"/>
                <w:sz w:val="21"/>
                <w:szCs w:val="21"/>
              </w:rPr>
            </w:pPr>
            <w:r>
              <w:rPr>
                <w:rFonts w:hint="eastAsia" w:asciiTheme="minorHAnsi" w:hAnsiTheme="minorHAnsi" w:eastAsiaTheme="minorEastAsia"/>
                <w:sz w:val="21"/>
                <w:szCs w:val="21"/>
              </w:rPr>
              <w:t>8</w:t>
            </w:r>
          </w:p>
        </w:tc>
        <w:tc>
          <w:tcPr>
            <w:tcW w:w="2076" w:type="dxa"/>
            <w:vAlign w:val="center"/>
          </w:tcPr>
          <w:p>
            <w:pPr>
              <w:spacing w:line="240" w:lineRule="auto"/>
              <w:ind w:firstLine="0" w:firstLineChars="0"/>
              <w:jc w:val="center"/>
              <w:rPr>
                <w:rFonts w:asciiTheme="minorHAnsi" w:hAnsiTheme="minorHAnsi" w:eastAsiaTheme="minorEastAsia"/>
                <w:sz w:val="21"/>
                <w:szCs w:val="21"/>
              </w:rPr>
            </w:pPr>
            <w:r>
              <w:rPr>
                <w:rFonts w:hint="eastAsia" w:asciiTheme="minorHAnsi" w:hAnsiTheme="minorHAnsi" w:eastAsiaTheme="minorEastAsia"/>
                <w:sz w:val="21"/>
                <w:szCs w:val="21"/>
              </w:rPr>
              <w:t>1</w:t>
            </w:r>
            <w:r>
              <w:rPr>
                <w:rFonts w:asciiTheme="minorHAnsi" w:hAnsiTheme="minorHAnsi" w:eastAsiaTheme="minorEastAsia"/>
                <w:sz w:val="21"/>
                <w:szCs w:val="21"/>
              </w:rPr>
              <w:t>5</w:t>
            </w:r>
          </w:p>
        </w:tc>
        <w:tc>
          <w:tcPr>
            <w:tcW w:w="2076" w:type="dxa"/>
            <w:vAlign w:val="center"/>
          </w:tcPr>
          <w:p>
            <w:pPr>
              <w:spacing w:line="240" w:lineRule="auto"/>
              <w:ind w:firstLine="0" w:firstLineChars="0"/>
              <w:jc w:val="center"/>
              <w:rPr>
                <w:rFonts w:asciiTheme="minorHAnsi" w:hAnsiTheme="minorHAnsi" w:eastAsiaTheme="minorEastAsia"/>
                <w:sz w:val="21"/>
                <w:szCs w:val="21"/>
              </w:rPr>
            </w:pPr>
            <w:r>
              <w:rPr>
                <w:rFonts w:hint="eastAsia" w:asciiTheme="minorHAnsi" w:hAnsiTheme="minorHAnsi" w:eastAsiaTheme="minorEastAsia"/>
                <w:sz w:val="21"/>
                <w:szCs w:val="21"/>
              </w:rPr>
              <w:t>2</w:t>
            </w:r>
            <w:r>
              <w:rPr>
                <w:rFonts w:asciiTheme="minorHAnsi" w:hAnsiTheme="minorHAnsi" w:eastAsiaTheme="minorEastAsia"/>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75" w:type="dxa"/>
            <w:vAlign w:val="center"/>
          </w:tcPr>
          <w:p>
            <w:pPr>
              <w:spacing w:line="240" w:lineRule="auto"/>
              <w:ind w:firstLine="0" w:firstLineChars="0"/>
              <w:jc w:val="center"/>
              <w:rPr>
                <w:rFonts w:asciiTheme="minorHAnsi" w:hAnsiTheme="minorHAnsi" w:eastAsiaTheme="minorEastAsia"/>
                <w:sz w:val="21"/>
                <w:szCs w:val="21"/>
              </w:rPr>
            </w:pPr>
            <w:r>
              <w:rPr>
                <w:rFonts w:hint="eastAsia" w:asciiTheme="minorHAnsi" w:hAnsiTheme="minorHAnsi" w:eastAsiaTheme="minorEastAsia"/>
                <w:sz w:val="21"/>
                <w:szCs w:val="21"/>
              </w:rPr>
              <w:t>合计</w:t>
            </w:r>
          </w:p>
        </w:tc>
        <w:tc>
          <w:tcPr>
            <w:tcW w:w="2075" w:type="dxa"/>
            <w:vAlign w:val="center"/>
          </w:tcPr>
          <w:p>
            <w:pPr>
              <w:spacing w:line="240" w:lineRule="auto"/>
              <w:ind w:firstLine="0" w:firstLineChars="0"/>
              <w:jc w:val="center"/>
              <w:rPr>
                <w:rFonts w:asciiTheme="minorHAnsi" w:hAnsiTheme="minorHAnsi" w:eastAsiaTheme="minorEastAsia"/>
                <w:sz w:val="21"/>
                <w:szCs w:val="21"/>
              </w:rPr>
            </w:pPr>
            <w:r>
              <w:rPr>
                <w:rFonts w:hint="eastAsia" w:asciiTheme="minorHAnsi" w:hAnsiTheme="minorHAnsi" w:eastAsiaTheme="minorEastAsia"/>
                <w:sz w:val="21"/>
                <w:szCs w:val="21"/>
              </w:rPr>
              <w:t>5</w:t>
            </w:r>
            <w:r>
              <w:rPr>
                <w:rFonts w:asciiTheme="minorHAnsi" w:hAnsiTheme="minorHAnsi" w:eastAsiaTheme="minorEastAsia"/>
                <w:sz w:val="21"/>
                <w:szCs w:val="21"/>
              </w:rPr>
              <w:t>7</w:t>
            </w:r>
          </w:p>
        </w:tc>
        <w:tc>
          <w:tcPr>
            <w:tcW w:w="2076" w:type="dxa"/>
            <w:vAlign w:val="center"/>
          </w:tcPr>
          <w:p>
            <w:pPr>
              <w:spacing w:line="240" w:lineRule="auto"/>
              <w:ind w:firstLine="0" w:firstLineChars="0"/>
              <w:jc w:val="center"/>
              <w:rPr>
                <w:rFonts w:asciiTheme="minorHAnsi" w:hAnsiTheme="minorHAnsi" w:eastAsiaTheme="minorEastAsia"/>
                <w:sz w:val="21"/>
                <w:szCs w:val="21"/>
              </w:rPr>
            </w:pPr>
            <w:r>
              <w:rPr>
                <w:rFonts w:hint="eastAsia" w:asciiTheme="minorHAnsi" w:hAnsiTheme="minorHAnsi" w:eastAsiaTheme="minorEastAsia"/>
                <w:sz w:val="21"/>
                <w:szCs w:val="21"/>
              </w:rPr>
              <w:t>1</w:t>
            </w:r>
            <w:r>
              <w:rPr>
                <w:rFonts w:asciiTheme="minorHAnsi" w:hAnsiTheme="minorHAnsi" w:eastAsiaTheme="minorEastAsia"/>
                <w:sz w:val="21"/>
                <w:szCs w:val="21"/>
              </w:rPr>
              <w:t>12</w:t>
            </w:r>
          </w:p>
        </w:tc>
        <w:tc>
          <w:tcPr>
            <w:tcW w:w="2076" w:type="dxa"/>
            <w:vAlign w:val="center"/>
          </w:tcPr>
          <w:p>
            <w:pPr>
              <w:spacing w:line="240" w:lineRule="auto"/>
              <w:ind w:firstLine="0" w:firstLineChars="0"/>
              <w:jc w:val="center"/>
              <w:rPr>
                <w:rFonts w:asciiTheme="minorHAnsi" w:hAnsiTheme="minorHAnsi" w:eastAsiaTheme="minorEastAsia"/>
                <w:sz w:val="21"/>
                <w:szCs w:val="21"/>
              </w:rPr>
            </w:pPr>
            <w:r>
              <w:rPr>
                <w:rFonts w:hint="eastAsia" w:asciiTheme="minorHAnsi" w:hAnsiTheme="minorHAnsi" w:eastAsiaTheme="minorEastAsia"/>
                <w:sz w:val="21"/>
                <w:szCs w:val="21"/>
              </w:rPr>
              <w:t>1</w:t>
            </w:r>
            <w:r>
              <w:rPr>
                <w:rFonts w:asciiTheme="minorHAnsi" w:hAnsiTheme="minorHAnsi" w:eastAsiaTheme="minorEastAsia"/>
                <w:sz w:val="21"/>
                <w:szCs w:val="21"/>
              </w:rPr>
              <w:t>79</w:t>
            </w:r>
          </w:p>
        </w:tc>
      </w:tr>
    </w:tbl>
    <w:p>
      <w:pPr>
        <w:ind w:firstLine="480"/>
        <w:rPr>
          <w:szCs w:val="24"/>
        </w:rPr>
      </w:pPr>
      <w:r>
        <w:rPr>
          <w:rFonts w:hint="eastAsia"/>
          <w:szCs w:val="24"/>
        </w:rPr>
        <w:t>湿地公园內高等植物只有1个种的科有23科，23个物种，分别占总科数的40.35%和总种数的12.85%；少种科（2-5种）有26科，共有物种75种，分别占总科数的45.61%，总种数的41.90%。多种科（6种以上）仅有8科（杨柳科、毛茛科、蔷薇科、龙胆科、玄参科、菊科、禾本科和莎草科），共有81个物种，分别占总科数的14.04%和总种数的45.25%。</w:t>
      </w:r>
    </w:p>
    <w:p>
      <w:pPr>
        <w:ind w:firstLine="480"/>
        <w:rPr>
          <w:szCs w:val="24"/>
        </w:rPr>
      </w:pPr>
      <w:r>
        <w:rPr>
          <w:rFonts w:hint="eastAsia"/>
          <w:szCs w:val="24"/>
        </w:rPr>
        <w:t>湿地公园的植物以温带区系成分占绝对优势，包括北温带分布、东亚和北美洲间断分布、旧世界温带分布和温带亚洲分布，占湿地公园种子植物总属数的80.65％，优势明显，几乎所有植被类型的建群种和优势种都属于这一分布类型。调查显示，湿地公园内的特有种仅矮泽芹（</w:t>
      </w:r>
      <w:r>
        <w:rPr>
          <w:rFonts w:hint="eastAsia"/>
          <w:i/>
          <w:szCs w:val="24"/>
        </w:rPr>
        <w:t>Chamaesium paradoxum</w:t>
      </w:r>
      <w:r>
        <w:rPr>
          <w:rFonts w:hint="eastAsia"/>
          <w:szCs w:val="24"/>
        </w:rPr>
        <w:t>）一种。</w:t>
      </w:r>
    </w:p>
    <w:p>
      <w:pPr>
        <w:ind w:firstLine="480"/>
        <w:rPr>
          <w:szCs w:val="24"/>
        </w:rPr>
      </w:pPr>
      <w:r>
        <w:rPr>
          <w:rFonts w:hint="eastAsia"/>
          <w:szCs w:val="24"/>
        </w:rPr>
        <w:t>依据《国家重点保护野生植物名录》</w:t>
      </w:r>
      <w:r>
        <w:rPr>
          <w:rFonts w:hint="eastAsia"/>
          <w:szCs w:val="24"/>
          <w:lang w:eastAsia="zh-CN"/>
        </w:rPr>
        <w:t>（</w:t>
      </w:r>
      <w:r>
        <w:rPr>
          <w:rFonts w:hint="eastAsia"/>
          <w:szCs w:val="24"/>
          <w:lang w:val="en-US" w:eastAsia="zh-CN"/>
        </w:rPr>
        <w:t>2021年</w:t>
      </w:r>
      <w:r>
        <w:rPr>
          <w:rFonts w:hint="eastAsia"/>
          <w:szCs w:val="24"/>
          <w:lang w:eastAsia="zh-CN"/>
        </w:rPr>
        <w:t>）</w:t>
      </w:r>
      <w:r>
        <w:rPr>
          <w:rFonts w:hint="eastAsia"/>
          <w:szCs w:val="24"/>
        </w:rPr>
        <w:t>，湿地公园</w:t>
      </w:r>
      <w:r>
        <w:rPr>
          <w:rFonts w:hint="eastAsia"/>
          <w:szCs w:val="24"/>
          <w:lang w:eastAsia="zh-CN"/>
        </w:rPr>
        <w:t>分布</w:t>
      </w:r>
      <w:r>
        <w:rPr>
          <w:rFonts w:hint="eastAsia"/>
          <w:szCs w:val="24"/>
        </w:rPr>
        <w:t>有国家</w:t>
      </w:r>
      <w:r>
        <w:rPr>
          <w:rFonts w:cs="Times New Roman"/>
          <w:szCs w:val="24"/>
        </w:rPr>
        <w:t>Ⅱ</w:t>
      </w:r>
      <w:r>
        <w:rPr>
          <w:rFonts w:hint="eastAsia"/>
          <w:szCs w:val="24"/>
        </w:rPr>
        <w:t>级重点保护植物二种，即冬虫夏草(麦角菌科)和红花绿绒蒿(罂粟科)。冬虫夏草和红花绿绒蒿在莲宝叶则湿地公园内多分布于海拔3600</w:t>
      </w:r>
      <w:r>
        <w:rPr>
          <w:szCs w:val="24"/>
        </w:rPr>
        <w:t xml:space="preserve"> </w:t>
      </w:r>
      <w:r>
        <w:rPr>
          <w:rFonts w:hint="eastAsia"/>
          <w:szCs w:val="24"/>
        </w:rPr>
        <w:t>m以上的灌丛草甸中，这两种国家Ⅱ级重点保护植物在区内种群数量都较小，应严加保护。</w:t>
      </w:r>
    </w:p>
    <w:p>
      <w:pPr>
        <w:spacing w:line="560" w:lineRule="exact"/>
        <w:ind w:firstLine="0" w:firstLineChars="0"/>
        <w:jc w:val="center"/>
        <w:rPr>
          <w:b/>
          <w:szCs w:val="21"/>
        </w:rPr>
      </w:pPr>
      <w:r>
        <w:rPr>
          <w:b/>
          <w:szCs w:val="21"/>
        </w:rPr>
        <w:t>表</w:t>
      </w:r>
      <w:r>
        <w:rPr>
          <w:rFonts w:hint="eastAsia"/>
          <w:b/>
          <w:szCs w:val="21"/>
          <w:lang w:val="en-US" w:eastAsia="zh-CN"/>
        </w:rPr>
        <w:t>3</w:t>
      </w:r>
      <w:r>
        <w:rPr>
          <w:b/>
          <w:szCs w:val="21"/>
        </w:rPr>
        <w:t>-2</w:t>
      </w:r>
      <w:r>
        <w:rPr>
          <w:rFonts w:hint="eastAsia"/>
          <w:b/>
          <w:szCs w:val="21"/>
        </w:rPr>
        <w:t>莲宝叶则</w:t>
      </w:r>
      <w:r>
        <w:rPr>
          <w:b/>
          <w:szCs w:val="21"/>
        </w:rPr>
        <w:t>湿地公园</w:t>
      </w:r>
      <w:r>
        <w:rPr>
          <w:rFonts w:hint="eastAsia"/>
          <w:b/>
          <w:szCs w:val="21"/>
        </w:rPr>
        <w:t>国家</w:t>
      </w:r>
      <w:r>
        <w:rPr>
          <w:b/>
          <w:szCs w:val="21"/>
        </w:rPr>
        <w:t>重点保护植物名录</w:t>
      </w:r>
    </w:p>
    <w:tbl>
      <w:tblPr>
        <w:tblStyle w:val="43"/>
        <w:tblW w:w="0" w:type="auto"/>
        <w:tblInd w:w="1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44"/>
        <w:gridCol w:w="3544"/>
        <w:gridCol w:w="1276"/>
        <w:gridCol w:w="12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88" w:type="dxa"/>
            <w:gridSpan w:val="2"/>
          </w:tcPr>
          <w:p>
            <w:pPr>
              <w:spacing w:line="240" w:lineRule="auto"/>
              <w:ind w:firstLine="0" w:firstLineChars="0"/>
              <w:jc w:val="center"/>
              <w:rPr>
                <w:rFonts w:ascii="Times New Roman" w:hAnsi="Times New Roman" w:cs="Times New Roman" w:eastAsiaTheme="minorEastAsia"/>
                <w:b/>
                <w:bCs/>
                <w:sz w:val="21"/>
                <w:szCs w:val="21"/>
              </w:rPr>
            </w:pPr>
            <w:r>
              <w:rPr>
                <w:rFonts w:ascii="Times New Roman" w:hAnsi="Times New Roman" w:cs="Times New Roman" w:eastAsiaTheme="minorEastAsia"/>
                <w:b/>
                <w:bCs/>
                <w:sz w:val="21"/>
                <w:szCs w:val="21"/>
              </w:rPr>
              <w:t>物</w:t>
            </w:r>
            <w:r>
              <w:rPr>
                <w:rFonts w:hint="eastAsia" w:cs="Times New Roman" w:eastAsiaTheme="minorEastAsia"/>
                <w:b/>
                <w:bCs/>
                <w:sz w:val="21"/>
                <w:szCs w:val="21"/>
                <w:lang w:val="en-US" w:eastAsia="zh-CN"/>
              </w:rPr>
              <w:t xml:space="preserve">  </w:t>
            </w:r>
            <w:r>
              <w:rPr>
                <w:rFonts w:ascii="Times New Roman" w:hAnsi="Times New Roman" w:cs="Times New Roman" w:eastAsiaTheme="minorEastAsia"/>
                <w:b/>
                <w:bCs/>
                <w:sz w:val="21"/>
                <w:szCs w:val="21"/>
              </w:rPr>
              <w:t>种</w:t>
            </w:r>
          </w:p>
        </w:tc>
        <w:tc>
          <w:tcPr>
            <w:tcW w:w="1276" w:type="dxa"/>
          </w:tcPr>
          <w:p>
            <w:pPr>
              <w:spacing w:line="240" w:lineRule="auto"/>
              <w:ind w:firstLine="0" w:firstLineChars="0"/>
              <w:jc w:val="center"/>
              <w:rPr>
                <w:rFonts w:ascii="Times New Roman" w:hAnsi="Times New Roman" w:cs="Times New Roman" w:eastAsiaTheme="minorEastAsia"/>
                <w:b/>
                <w:bCs/>
                <w:sz w:val="21"/>
                <w:szCs w:val="21"/>
              </w:rPr>
            </w:pPr>
            <w:r>
              <w:rPr>
                <w:rFonts w:ascii="Times New Roman" w:hAnsi="Times New Roman" w:cs="Times New Roman" w:eastAsiaTheme="minorEastAsia"/>
                <w:b/>
                <w:bCs/>
                <w:sz w:val="21"/>
                <w:szCs w:val="21"/>
              </w:rPr>
              <w:t>濒危级别</w:t>
            </w:r>
          </w:p>
        </w:tc>
        <w:tc>
          <w:tcPr>
            <w:tcW w:w="1219" w:type="dxa"/>
          </w:tcPr>
          <w:p>
            <w:pPr>
              <w:spacing w:line="240" w:lineRule="auto"/>
              <w:ind w:firstLine="0" w:firstLineChars="0"/>
              <w:jc w:val="center"/>
              <w:rPr>
                <w:rFonts w:ascii="Times New Roman" w:hAnsi="Times New Roman" w:cs="Times New Roman" w:eastAsiaTheme="minorEastAsia"/>
                <w:b/>
                <w:bCs/>
                <w:sz w:val="21"/>
                <w:szCs w:val="21"/>
              </w:rPr>
            </w:pPr>
            <w:r>
              <w:rPr>
                <w:rFonts w:ascii="Times New Roman" w:hAnsi="Times New Roman" w:cs="Times New Roman" w:eastAsiaTheme="minorEastAsia"/>
                <w:b/>
                <w:bCs/>
                <w:sz w:val="21"/>
                <w:szCs w:val="21"/>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44"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麦角菌科</w:t>
            </w:r>
          </w:p>
        </w:tc>
        <w:tc>
          <w:tcPr>
            <w:tcW w:w="3544"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冬虫夏草</w:t>
            </w:r>
            <w:r>
              <w:rPr>
                <w:rFonts w:ascii="Times New Roman" w:hAnsi="Times New Roman" w:cs="Times New Roman" w:eastAsiaTheme="minorEastAsia"/>
                <w:i/>
                <w:sz w:val="21"/>
                <w:szCs w:val="21"/>
              </w:rPr>
              <w:t>Cordyceps sinensis</w:t>
            </w:r>
          </w:p>
        </w:tc>
        <w:tc>
          <w:tcPr>
            <w:tcW w:w="1276"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稀有种</w:t>
            </w:r>
          </w:p>
        </w:tc>
        <w:tc>
          <w:tcPr>
            <w:tcW w:w="121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44"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罂粟科</w:t>
            </w:r>
          </w:p>
        </w:tc>
        <w:tc>
          <w:tcPr>
            <w:tcW w:w="3544" w:type="dxa"/>
          </w:tcPr>
          <w:p>
            <w:pPr>
              <w:spacing w:line="240" w:lineRule="auto"/>
              <w:ind w:firstLine="0" w:firstLineChars="0"/>
              <w:rPr>
                <w:rFonts w:ascii="Times New Roman" w:hAnsi="Times New Roman" w:cs="Times New Roman" w:eastAsiaTheme="minorEastAsia"/>
                <w:sz w:val="21"/>
                <w:szCs w:val="21"/>
              </w:rPr>
            </w:pPr>
            <w:r>
              <w:rPr>
                <w:rFonts w:ascii="Times New Roman" w:hAnsi="Times New Roman" w:cs="Times New Roman" w:eastAsiaTheme="minorEastAsia"/>
                <w:sz w:val="21"/>
                <w:szCs w:val="21"/>
              </w:rPr>
              <w:t>红花绿绒蒿</w:t>
            </w:r>
            <w:r>
              <w:rPr>
                <w:rFonts w:ascii="Times New Roman" w:hAnsi="Times New Roman" w:cs="Times New Roman" w:eastAsiaTheme="minorEastAsia"/>
                <w:i/>
                <w:sz w:val="21"/>
                <w:szCs w:val="21"/>
              </w:rPr>
              <w:t>Meconopsis punicea</w:t>
            </w:r>
          </w:p>
        </w:tc>
        <w:tc>
          <w:tcPr>
            <w:tcW w:w="1276"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稀有种</w:t>
            </w:r>
          </w:p>
        </w:tc>
        <w:tc>
          <w:tcPr>
            <w:tcW w:w="1219" w:type="dxa"/>
          </w:tcPr>
          <w:p>
            <w:pPr>
              <w:spacing w:line="240" w:lineRule="auto"/>
              <w:ind w:firstLine="0" w:firstLineChars="0"/>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Ⅱ</w:t>
            </w:r>
          </w:p>
        </w:tc>
      </w:tr>
    </w:tbl>
    <w:p>
      <w:pPr>
        <w:ind w:firstLine="480"/>
        <w:rPr>
          <w:szCs w:val="24"/>
        </w:rPr>
      </w:pPr>
      <w:r>
        <w:rPr>
          <w:rFonts w:hint="eastAsia"/>
          <w:szCs w:val="24"/>
        </w:rPr>
        <w:t>湿地公园范围内有湿地植物75种（包括3种类型：①只有在湿地中出现的物种；②同一区域，既能在湿地中，又可在非湿地中生长的物种；③在一些地区仅出现在湿地中，而在另一些地区则可同时出现在湿地或非湿地中的物种），占该区高等植物总种数的41.90%，隶属于28科48属。其中苔蘚植物3科4属4种，蕨类植物2科2属4种，裸子植物1科1属2种，被子植物22科41属65种。</w:t>
      </w:r>
    </w:p>
    <w:p>
      <w:pPr>
        <w:spacing w:line="560" w:lineRule="exact"/>
        <w:ind w:firstLine="0" w:firstLineChars="0"/>
        <w:jc w:val="center"/>
        <w:rPr>
          <w:b/>
          <w:szCs w:val="21"/>
        </w:rPr>
      </w:pPr>
      <w:r>
        <w:rPr>
          <w:b/>
          <w:szCs w:val="21"/>
        </w:rPr>
        <w:t>表</w:t>
      </w:r>
      <w:r>
        <w:rPr>
          <w:rFonts w:hint="eastAsia"/>
          <w:b/>
          <w:szCs w:val="21"/>
          <w:lang w:val="en-US" w:eastAsia="zh-CN"/>
        </w:rPr>
        <w:t>3</w:t>
      </w:r>
      <w:r>
        <w:rPr>
          <w:b/>
          <w:szCs w:val="21"/>
        </w:rPr>
        <w:t>-3</w:t>
      </w:r>
      <w:r>
        <w:rPr>
          <w:rFonts w:hint="eastAsia"/>
          <w:b/>
          <w:szCs w:val="21"/>
        </w:rPr>
        <w:t>莲宝叶则</w:t>
      </w:r>
      <w:r>
        <w:rPr>
          <w:b/>
          <w:szCs w:val="21"/>
        </w:rPr>
        <w:t>湿地公园</w:t>
      </w:r>
      <w:r>
        <w:rPr>
          <w:rFonts w:hint="eastAsia"/>
          <w:b/>
          <w:szCs w:val="21"/>
        </w:rPr>
        <w:t>湿地植物组成统计表</w:t>
      </w:r>
    </w:p>
    <w:tbl>
      <w:tblPr>
        <w:tblStyle w:val="4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3"/>
        <w:gridCol w:w="1134"/>
        <w:gridCol w:w="709"/>
        <w:gridCol w:w="1276"/>
        <w:gridCol w:w="709"/>
        <w:gridCol w:w="1275"/>
        <w:gridCol w:w="709"/>
        <w:gridCol w:w="13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07" w:type="dxa"/>
            <w:gridSpan w:val="2"/>
            <w:vAlign w:val="center"/>
          </w:tcPr>
          <w:p>
            <w:pPr>
              <w:spacing w:line="240" w:lineRule="auto"/>
              <w:ind w:firstLine="0" w:firstLineChars="0"/>
              <w:jc w:val="center"/>
              <w:rPr>
                <w:rFonts w:ascii="Times New Roman" w:hAnsi="Times New Roman" w:cs="Times New Roman" w:eastAsiaTheme="minorEastAsia"/>
                <w:b/>
                <w:bCs/>
                <w:sz w:val="18"/>
                <w:szCs w:val="21"/>
              </w:rPr>
            </w:pPr>
            <w:r>
              <w:rPr>
                <w:rFonts w:ascii="Times New Roman" w:hAnsi="Times New Roman" w:cs="Times New Roman" w:eastAsiaTheme="minorEastAsia"/>
                <w:b/>
                <w:bCs/>
                <w:sz w:val="18"/>
                <w:szCs w:val="21"/>
              </w:rPr>
              <w:t>门类</w:t>
            </w:r>
          </w:p>
        </w:tc>
        <w:tc>
          <w:tcPr>
            <w:tcW w:w="709" w:type="dxa"/>
            <w:vAlign w:val="center"/>
          </w:tcPr>
          <w:p>
            <w:pPr>
              <w:spacing w:line="240" w:lineRule="auto"/>
              <w:ind w:firstLine="0" w:firstLineChars="0"/>
              <w:jc w:val="center"/>
              <w:rPr>
                <w:rFonts w:ascii="Times New Roman" w:hAnsi="Times New Roman" w:cs="Times New Roman" w:eastAsiaTheme="minorEastAsia"/>
                <w:b/>
                <w:bCs/>
                <w:sz w:val="18"/>
                <w:szCs w:val="21"/>
              </w:rPr>
            </w:pPr>
            <w:r>
              <w:rPr>
                <w:rFonts w:ascii="Times New Roman" w:hAnsi="Times New Roman" w:cs="Times New Roman" w:eastAsiaTheme="minorEastAsia"/>
                <w:b/>
                <w:bCs/>
                <w:sz w:val="18"/>
                <w:szCs w:val="21"/>
              </w:rPr>
              <w:t>科数</w:t>
            </w:r>
          </w:p>
        </w:tc>
        <w:tc>
          <w:tcPr>
            <w:tcW w:w="1276" w:type="dxa"/>
            <w:vAlign w:val="center"/>
          </w:tcPr>
          <w:p>
            <w:pPr>
              <w:spacing w:line="240" w:lineRule="auto"/>
              <w:ind w:firstLine="0" w:firstLineChars="0"/>
              <w:jc w:val="center"/>
              <w:rPr>
                <w:rFonts w:ascii="Times New Roman" w:hAnsi="Times New Roman" w:cs="Times New Roman" w:eastAsiaTheme="minorEastAsia"/>
                <w:b/>
                <w:bCs/>
                <w:sz w:val="18"/>
                <w:szCs w:val="21"/>
              </w:rPr>
            </w:pPr>
            <w:r>
              <w:rPr>
                <w:rFonts w:ascii="Times New Roman" w:hAnsi="Times New Roman" w:cs="Times New Roman" w:eastAsiaTheme="minorEastAsia"/>
                <w:b/>
                <w:bCs/>
                <w:sz w:val="18"/>
                <w:szCs w:val="21"/>
              </w:rPr>
              <w:t>所占比例（%）</w:t>
            </w:r>
          </w:p>
        </w:tc>
        <w:tc>
          <w:tcPr>
            <w:tcW w:w="709" w:type="dxa"/>
            <w:vAlign w:val="center"/>
          </w:tcPr>
          <w:p>
            <w:pPr>
              <w:spacing w:line="240" w:lineRule="auto"/>
              <w:ind w:firstLine="0" w:firstLineChars="0"/>
              <w:jc w:val="center"/>
              <w:rPr>
                <w:rFonts w:ascii="Times New Roman" w:hAnsi="Times New Roman" w:cs="Times New Roman" w:eastAsiaTheme="minorEastAsia"/>
                <w:b/>
                <w:bCs/>
                <w:sz w:val="18"/>
                <w:szCs w:val="21"/>
              </w:rPr>
            </w:pPr>
            <w:r>
              <w:rPr>
                <w:rFonts w:ascii="Times New Roman" w:hAnsi="Times New Roman" w:cs="Times New Roman" w:eastAsiaTheme="minorEastAsia"/>
                <w:b/>
                <w:bCs/>
                <w:sz w:val="18"/>
                <w:szCs w:val="21"/>
              </w:rPr>
              <w:t>属数</w:t>
            </w:r>
          </w:p>
        </w:tc>
        <w:tc>
          <w:tcPr>
            <w:tcW w:w="1275" w:type="dxa"/>
            <w:vAlign w:val="center"/>
          </w:tcPr>
          <w:p>
            <w:pPr>
              <w:spacing w:line="240" w:lineRule="auto"/>
              <w:ind w:firstLine="0" w:firstLineChars="0"/>
              <w:jc w:val="center"/>
              <w:rPr>
                <w:rFonts w:ascii="Times New Roman" w:hAnsi="Times New Roman" w:cs="Times New Roman" w:eastAsiaTheme="minorEastAsia"/>
                <w:b/>
                <w:bCs/>
                <w:sz w:val="18"/>
                <w:szCs w:val="21"/>
              </w:rPr>
            </w:pPr>
            <w:r>
              <w:rPr>
                <w:rFonts w:ascii="Times New Roman" w:hAnsi="Times New Roman" w:cs="Times New Roman" w:eastAsiaTheme="minorEastAsia"/>
                <w:b/>
                <w:bCs/>
                <w:sz w:val="18"/>
                <w:szCs w:val="21"/>
              </w:rPr>
              <w:t>所占比例（%）</w:t>
            </w:r>
          </w:p>
        </w:tc>
        <w:tc>
          <w:tcPr>
            <w:tcW w:w="709" w:type="dxa"/>
            <w:vAlign w:val="center"/>
          </w:tcPr>
          <w:p>
            <w:pPr>
              <w:spacing w:line="240" w:lineRule="auto"/>
              <w:ind w:firstLine="0" w:firstLineChars="0"/>
              <w:jc w:val="center"/>
              <w:rPr>
                <w:rFonts w:ascii="Times New Roman" w:hAnsi="Times New Roman" w:cs="Times New Roman" w:eastAsiaTheme="minorEastAsia"/>
                <w:b/>
                <w:bCs/>
                <w:sz w:val="18"/>
                <w:szCs w:val="21"/>
              </w:rPr>
            </w:pPr>
            <w:r>
              <w:rPr>
                <w:rFonts w:ascii="Times New Roman" w:hAnsi="Times New Roman" w:cs="Times New Roman" w:eastAsiaTheme="minorEastAsia"/>
                <w:b/>
                <w:bCs/>
                <w:sz w:val="18"/>
                <w:szCs w:val="21"/>
              </w:rPr>
              <w:t>种数</w:t>
            </w:r>
          </w:p>
        </w:tc>
        <w:tc>
          <w:tcPr>
            <w:tcW w:w="1361" w:type="dxa"/>
            <w:vAlign w:val="center"/>
          </w:tcPr>
          <w:p>
            <w:pPr>
              <w:spacing w:line="240" w:lineRule="auto"/>
              <w:ind w:firstLine="0" w:firstLineChars="0"/>
              <w:jc w:val="center"/>
              <w:rPr>
                <w:rFonts w:ascii="Times New Roman" w:hAnsi="Times New Roman" w:cs="Times New Roman" w:eastAsiaTheme="minorEastAsia"/>
                <w:b/>
                <w:bCs/>
                <w:sz w:val="18"/>
                <w:szCs w:val="21"/>
              </w:rPr>
            </w:pPr>
            <w:r>
              <w:rPr>
                <w:rFonts w:ascii="Times New Roman" w:hAnsi="Times New Roman" w:cs="Times New Roman" w:eastAsiaTheme="minorEastAsia"/>
                <w:b/>
                <w:bCs/>
                <w:sz w:val="18"/>
                <w:szCs w:val="21"/>
              </w:rPr>
              <w:t>所占比例（%）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07" w:type="dxa"/>
            <w:gridSpan w:val="2"/>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苔藓植物</w:t>
            </w:r>
          </w:p>
        </w:tc>
        <w:tc>
          <w:tcPr>
            <w:tcW w:w="709"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3</w:t>
            </w:r>
          </w:p>
        </w:tc>
        <w:tc>
          <w:tcPr>
            <w:tcW w:w="1276"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10.71</w:t>
            </w:r>
          </w:p>
        </w:tc>
        <w:tc>
          <w:tcPr>
            <w:tcW w:w="709"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4</w:t>
            </w:r>
          </w:p>
        </w:tc>
        <w:tc>
          <w:tcPr>
            <w:tcW w:w="1275"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8.33</w:t>
            </w:r>
          </w:p>
        </w:tc>
        <w:tc>
          <w:tcPr>
            <w:tcW w:w="709"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4</w:t>
            </w:r>
          </w:p>
        </w:tc>
        <w:tc>
          <w:tcPr>
            <w:tcW w:w="1361"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5.33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07" w:type="dxa"/>
            <w:gridSpan w:val="2"/>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蕨类植物</w:t>
            </w:r>
          </w:p>
        </w:tc>
        <w:tc>
          <w:tcPr>
            <w:tcW w:w="709"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2</w:t>
            </w:r>
          </w:p>
        </w:tc>
        <w:tc>
          <w:tcPr>
            <w:tcW w:w="1276"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7.14</w:t>
            </w:r>
          </w:p>
        </w:tc>
        <w:tc>
          <w:tcPr>
            <w:tcW w:w="709"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2</w:t>
            </w:r>
          </w:p>
        </w:tc>
        <w:tc>
          <w:tcPr>
            <w:tcW w:w="1275"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4.17</w:t>
            </w:r>
          </w:p>
        </w:tc>
        <w:tc>
          <w:tcPr>
            <w:tcW w:w="709"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4</w:t>
            </w:r>
          </w:p>
        </w:tc>
        <w:tc>
          <w:tcPr>
            <w:tcW w:w="1361"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5.33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3" w:type="dxa"/>
            <w:vMerge w:val="restart"/>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种子植物</w:t>
            </w:r>
          </w:p>
        </w:tc>
        <w:tc>
          <w:tcPr>
            <w:tcW w:w="1134"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裸子植物</w:t>
            </w:r>
          </w:p>
        </w:tc>
        <w:tc>
          <w:tcPr>
            <w:tcW w:w="709"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1</w:t>
            </w:r>
          </w:p>
        </w:tc>
        <w:tc>
          <w:tcPr>
            <w:tcW w:w="1276"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3.57</w:t>
            </w:r>
          </w:p>
        </w:tc>
        <w:tc>
          <w:tcPr>
            <w:tcW w:w="709"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1</w:t>
            </w:r>
          </w:p>
        </w:tc>
        <w:tc>
          <w:tcPr>
            <w:tcW w:w="1275"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2.08</w:t>
            </w:r>
          </w:p>
        </w:tc>
        <w:tc>
          <w:tcPr>
            <w:tcW w:w="709"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2</w:t>
            </w:r>
          </w:p>
        </w:tc>
        <w:tc>
          <w:tcPr>
            <w:tcW w:w="1361"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3" w:type="dxa"/>
            <w:vMerge w:val="continue"/>
            <w:vAlign w:val="center"/>
          </w:tcPr>
          <w:p>
            <w:pPr>
              <w:spacing w:line="240" w:lineRule="auto"/>
              <w:ind w:firstLine="0" w:firstLineChars="0"/>
              <w:jc w:val="center"/>
              <w:rPr>
                <w:rFonts w:ascii="Times New Roman" w:hAnsi="Times New Roman" w:cs="Times New Roman" w:eastAsiaTheme="minorEastAsia"/>
                <w:sz w:val="18"/>
                <w:szCs w:val="21"/>
              </w:rPr>
            </w:pPr>
          </w:p>
        </w:tc>
        <w:tc>
          <w:tcPr>
            <w:tcW w:w="1134"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被子植物</w:t>
            </w:r>
          </w:p>
        </w:tc>
        <w:tc>
          <w:tcPr>
            <w:tcW w:w="709"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22</w:t>
            </w:r>
          </w:p>
        </w:tc>
        <w:tc>
          <w:tcPr>
            <w:tcW w:w="1276"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78.57</w:t>
            </w:r>
          </w:p>
        </w:tc>
        <w:tc>
          <w:tcPr>
            <w:tcW w:w="709"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41</w:t>
            </w:r>
          </w:p>
        </w:tc>
        <w:tc>
          <w:tcPr>
            <w:tcW w:w="1275"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85.42</w:t>
            </w:r>
          </w:p>
        </w:tc>
        <w:tc>
          <w:tcPr>
            <w:tcW w:w="709"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65</w:t>
            </w:r>
          </w:p>
        </w:tc>
        <w:tc>
          <w:tcPr>
            <w:tcW w:w="1361"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86.67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07" w:type="dxa"/>
            <w:gridSpan w:val="2"/>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合计</w:t>
            </w:r>
          </w:p>
        </w:tc>
        <w:tc>
          <w:tcPr>
            <w:tcW w:w="709"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28</w:t>
            </w:r>
          </w:p>
        </w:tc>
        <w:tc>
          <w:tcPr>
            <w:tcW w:w="1276"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100</w:t>
            </w:r>
          </w:p>
        </w:tc>
        <w:tc>
          <w:tcPr>
            <w:tcW w:w="709"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48</w:t>
            </w:r>
          </w:p>
        </w:tc>
        <w:tc>
          <w:tcPr>
            <w:tcW w:w="1275"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100</w:t>
            </w:r>
          </w:p>
        </w:tc>
        <w:tc>
          <w:tcPr>
            <w:tcW w:w="709"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75</w:t>
            </w:r>
          </w:p>
        </w:tc>
        <w:tc>
          <w:tcPr>
            <w:tcW w:w="1361" w:type="dxa"/>
            <w:vAlign w:val="center"/>
          </w:tcPr>
          <w:p>
            <w:pPr>
              <w:spacing w:line="240" w:lineRule="auto"/>
              <w:ind w:firstLine="0" w:firstLineChars="0"/>
              <w:jc w:val="center"/>
              <w:rPr>
                <w:rFonts w:ascii="Times New Roman" w:hAnsi="Times New Roman" w:cs="Times New Roman" w:eastAsiaTheme="minorEastAsia"/>
                <w:sz w:val="18"/>
                <w:szCs w:val="21"/>
              </w:rPr>
            </w:pPr>
            <w:r>
              <w:rPr>
                <w:rFonts w:ascii="Times New Roman" w:hAnsi="Times New Roman" w:cs="Times New Roman" w:eastAsiaTheme="minorEastAsia"/>
                <w:sz w:val="18"/>
                <w:szCs w:val="21"/>
              </w:rPr>
              <w:t>100</w:t>
            </w:r>
          </w:p>
        </w:tc>
      </w:tr>
    </w:tbl>
    <w:p>
      <w:pPr>
        <w:ind w:firstLine="480"/>
        <w:rPr>
          <w:szCs w:val="24"/>
        </w:rPr>
      </w:pPr>
      <w:r>
        <w:rPr>
          <w:rFonts w:hint="eastAsia"/>
          <w:szCs w:val="24"/>
        </w:rPr>
        <w:t>从湿地植物物种的组成类型来看，被子植物在科、属、种层次上的比重都在78%以上（表</w:t>
      </w:r>
      <w:r>
        <w:rPr>
          <w:rFonts w:hint="eastAsia"/>
          <w:szCs w:val="24"/>
          <w:lang w:val="en-US" w:eastAsia="zh-CN"/>
        </w:rPr>
        <w:t>3</w:t>
      </w:r>
      <w:r>
        <w:rPr>
          <w:rFonts w:hint="eastAsia"/>
          <w:szCs w:val="24"/>
        </w:rPr>
        <w:t>-3）。含湿地物种较多的科有：杨柳科、蓼科、毛茛科、柳叶菜科、杉叶藻科、报春花、龙胆科、玄参科、菊科、水麦冬科、眼子菜科、禾本科和莎草科。湿地物种中，以泥炭藓（</w:t>
      </w:r>
      <w:r>
        <w:rPr>
          <w:rFonts w:hint="eastAsia"/>
          <w:i/>
          <w:szCs w:val="24"/>
        </w:rPr>
        <w:t>Sphagnum cymbifolium</w:t>
      </w:r>
      <w:r>
        <w:rPr>
          <w:rFonts w:hint="eastAsia"/>
          <w:szCs w:val="24"/>
        </w:rPr>
        <w:t>）、粗叶泥炭藓（</w:t>
      </w:r>
      <w:r>
        <w:rPr>
          <w:rFonts w:hint="eastAsia"/>
          <w:i/>
          <w:szCs w:val="24"/>
        </w:rPr>
        <w:t>Sphagnum squarrosum</w:t>
      </w:r>
      <w:r>
        <w:rPr>
          <w:rFonts w:hint="eastAsia"/>
          <w:szCs w:val="24"/>
        </w:rPr>
        <w:t>）、犬问荆（</w:t>
      </w:r>
      <w:r>
        <w:rPr>
          <w:rFonts w:hint="eastAsia"/>
          <w:i/>
          <w:szCs w:val="24"/>
        </w:rPr>
        <w:t>Equisetum palustre</w:t>
      </w:r>
      <w:r>
        <w:rPr>
          <w:rFonts w:hint="eastAsia"/>
          <w:szCs w:val="24"/>
        </w:rPr>
        <w:t>）、矮麻黄（</w:t>
      </w:r>
      <w:r>
        <w:rPr>
          <w:rFonts w:hint="eastAsia"/>
          <w:i/>
          <w:szCs w:val="24"/>
        </w:rPr>
        <w:t>Ephedra minuta</w:t>
      </w:r>
      <w:r>
        <w:rPr>
          <w:rFonts w:hint="eastAsia"/>
          <w:szCs w:val="24"/>
        </w:rPr>
        <w:t>）、高山柳 （</w:t>
      </w:r>
      <w:r>
        <w:rPr>
          <w:rFonts w:hint="eastAsia"/>
          <w:i/>
          <w:szCs w:val="24"/>
        </w:rPr>
        <w:t>Salix</w:t>
      </w:r>
      <w:r>
        <w:rPr>
          <w:i/>
          <w:szCs w:val="24"/>
        </w:rPr>
        <w:t xml:space="preserve"> </w:t>
      </w:r>
      <w:r>
        <w:rPr>
          <w:rFonts w:hint="eastAsia"/>
          <w:i/>
          <w:szCs w:val="24"/>
        </w:rPr>
        <w:t>spp.</w:t>
      </w:r>
      <w:r>
        <w:rPr>
          <w:rFonts w:hint="eastAsia"/>
          <w:szCs w:val="24"/>
        </w:rPr>
        <w:t>）、西伯利亚蓼（</w:t>
      </w:r>
      <w:r>
        <w:rPr>
          <w:rFonts w:hint="eastAsia"/>
          <w:i/>
          <w:szCs w:val="24"/>
        </w:rPr>
        <w:t>Polygonum sibiricum</w:t>
      </w:r>
      <w:r>
        <w:rPr>
          <w:rFonts w:hint="eastAsia"/>
          <w:szCs w:val="24"/>
        </w:rPr>
        <w:t>）、掌叶大黄（</w:t>
      </w:r>
      <w:r>
        <w:rPr>
          <w:rFonts w:hint="eastAsia"/>
          <w:i/>
          <w:szCs w:val="24"/>
        </w:rPr>
        <w:t>Rheum palmatum</w:t>
      </w:r>
      <w:r>
        <w:rPr>
          <w:rFonts w:hint="eastAsia"/>
          <w:szCs w:val="24"/>
        </w:rPr>
        <w:t>）、花葶驴蹄草（</w:t>
      </w:r>
      <w:r>
        <w:rPr>
          <w:rFonts w:hint="eastAsia"/>
          <w:i/>
          <w:szCs w:val="24"/>
        </w:rPr>
        <w:t>Caltha scaposa</w:t>
      </w:r>
      <w:r>
        <w:rPr>
          <w:rFonts w:hint="eastAsia"/>
          <w:szCs w:val="24"/>
        </w:rPr>
        <w:t>）、水葫芦苗（</w:t>
      </w:r>
      <w:r>
        <w:rPr>
          <w:rFonts w:hint="eastAsia"/>
          <w:i/>
          <w:szCs w:val="24"/>
        </w:rPr>
        <w:t>Halerpestes sarmentosa</w:t>
      </w:r>
      <w:r>
        <w:rPr>
          <w:rFonts w:hint="eastAsia"/>
          <w:szCs w:val="24"/>
        </w:rPr>
        <w:t>）、无柄水毛茛（</w:t>
      </w:r>
      <w:r>
        <w:rPr>
          <w:rFonts w:hint="eastAsia"/>
          <w:i/>
          <w:szCs w:val="24"/>
        </w:rPr>
        <w:t>Batrachium trichophyllum</w:t>
      </w:r>
      <w:r>
        <w:rPr>
          <w:rFonts w:hint="eastAsia"/>
          <w:szCs w:val="24"/>
        </w:rPr>
        <w:t>）、金露梅（</w:t>
      </w:r>
      <w:r>
        <w:rPr>
          <w:rFonts w:hint="eastAsia"/>
          <w:i/>
          <w:szCs w:val="24"/>
        </w:rPr>
        <w:t>Dasiphora fruticosa</w:t>
      </w:r>
      <w:r>
        <w:rPr>
          <w:rFonts w:hint="eastAsia"/>
          <w:szCs w:val="24"/>
        </w:rPr>
        <w:t>）、报春（</w:t>
      </w:r>
      <w:r>
        <w:rPr>
          <w:rFonts w:hint="eastAsia"/>
          <w:i/>
          <w:szCs w:val="24"/>
        </w:rPr>
        <w:t>Primula spp.</w:t>
      </w:r>
      <w:r>
        <w:rPr>
          <w:rFonts w:hint="eastAsia"/>
          <w:szCs w:val="24"/>
        </w:rPr>
        <w:t>）、杉叶藻（</w:t>
      </w:r>
      <w:r>
        <w:rPr>
          <w:rFonts w:hint="eastAsia"/>
          <w:i/>
          <w:szCs w:val="24"/>
        </w:rPr>
        <w:t>Hippuris vulgaris</w:t>
      </w:r>
      <w:r>
        <w:rPr>
          <w:rFonts w:hint="eastAsia"/>
          <w:szCs w:val="24"/>
        </w:rPr>
        <w:t>）、紫丁杜鹃（</w:t>
      </w:r>
      <w:r>
        <w:rPr>
          <w:rFonts w:hint="eastAsia"/>
          <w:i/>
          <w:szCs w:val="24"/>
        </w:rPr>
        <w:t>Rhododendron violaceum</w:t>
      </w:r>
      <w:r>
        <w:rPr>
          <w:rFonts w:hint="eastAsia"/>
          <w:szCs w:val="24"/>
        </w:rPr>
        <w:t>）、龙胆（</w:t>
      </w:r>
      <w:r>
        <w:rPr>
          <w:rFonts w:hint="eastAsia"/>
          <w:i/>
          <w:szCs w:val="24"/>
        </w:rPr>
        <w:t>Gentiana spp.</w:t>
      </w:r>
      <w:r>
        <w:rPr>
          <w:rFonts w:hint="eastAsia"/>
          <w:szCs w:val="24"/>
        </w:rPr>
        <w:t>)、椭圆叶花锚（</w:t>
      </w:r>
      <w:r>
        <w:rPr>
          <w:rFonts w:hint="eastAsia"/>
          <w:i/>
          <w:szCs w:val="24"/>
        </w:rPr>
        <w:t>Halenia elliptica</w:t>
      </w:r>
      <w:r>
        <w:rPr>
          <w:rFonts w:hint="eastAsia"/>
          <w:szCs w:val="24"/>
        </w:rPr>
        <w:t>）、马先蒿 （</w:t>
      </w:r>
      <w:r>
        <w:rPr>
          <w:rFonts w:hint="eastAsia"/>
          <w:i/>
          <w:szCs w:val="24"/>
        </w:rPr>
        <w:t>Pedieularis spp.</w:t>
      </w:r>
      <w:r>
        <w:rPr>
          <w:rFonts w:hint="eastAsia"/>
          <w:szCs w:val="24"/>
        </w:rPr>
        <w:t>)、橐吾（</w:t>
      </w:r>
      <w:r>
        <w:rPr>
          <w:rFonts w:hint="eastAsia"/>
          <w:i/>
          <w:szCs w:val="24"/>
        </w:rPr>
        <w:t>Ligularia spp.</w:t>
      </w:r>
      <w:r>
        <w:rPr>
          <w:rFonts w:hint="eastAsia"/>
          <w:szCs w:val="24"/>
        </w:rPr>
        <w:t>)、羽裂蟹甲草（</w:t>
      </w:r>
      <w:r>
        <w:rPr>
          <w:rFonts w:hint="eastAsia"/>
          <w:i/>
          <w:szCs w:val="24"/>
        </w:rPr>
        <w:t>Cacalia tangutica</w:t>
      </w:r>
      <w:r>
        <w:rPr>
          <w:rFonts w:hint="eastAsia"/>
          <w:szCs w:val="24"/>
        </w:rPr>
        <w:t>）、垂头菊（</w:t>
      </w:r>
      <w:r>
        <w:rPr>
          <w:rFonts w:hint="eastAsia"/>
          <w:i/>
          <w:szCs w:val="24"/>
        </w:rPr>
        <w:t>Cremanthodium spp.</w:t>
      </w:r>
      <w:r>
        <w:rPr>
          <w:rFonts w:hint="eastAsia"/>
          <w:szCs w:val="24"/>
        </w:rPr>
        <w:t>)、水麦冬（</w:t>
      </w:r>
      <w:r>
        <w:rPr>
          <w:rFonts w:hint="eastAsia"/>
          <w:i/>
          <w:szCs w:val="24"/>
        </w:rPr>
        <w:t>Trilochin palustre</w:t>
      </w:r>
      <w:r>
        <w:rPr>
          <w:rFonts w:hint="eastAsia"/>
          <w:szCs w:val="24"/>
        </w:rPr>
        <w:t>）、帕米尔眼子菜（</w:t>
      </w:r>
      <w:r>
        <w:rPr>
          <w:rFonts w:hint="eastAsia"/>
          <w:i/>
          <w:szCs w:val="24"/>
        </w:rPr>
        <w:t>Potamogeton pamiricus</w:t>
      </w:r>
      <w:r>
        <w:rPr>
          <w:rFonts w:hint="eastAsia"/>
          <w:szCs w:val="24"/>
        </w:rPr>
        <w:t>）、展苞灯心草（</w:t>
      </w:r>
      <w:r>
        <w:rPr>
          <w:rFonts w:hint="eastAsia"/>
          <w:i/>
          <w:szCs w:val="24"/>
        </w:rPr>
        <w:t>Juncus thomsonii</w:t>
      </w:r>
      <w:r>
        <w:rPr>
          <w:rFonts w:hint="eastAsia"/>
          <w:szCs w:val="24"/>
        </w:rPr>
        <w:t>）、早熟禾（</w:t>
      </w:r>
      <w:r>
        <w:rPr>
          <w:rFonts w:hint="eastAsia"/>
          <w:i/>
          <w:szCs w:val="24"/>
        </w:rPr>
        <w:t>Poa spp.</w:t>
      </w:r>
      <w:r>
        <w:rPr>
          <w:rFonts w:hint="eastAsia"/>
          <w:szCs w:val="24"/>
        </w:rPr>
        <w:t>)、嵩草（</w:t>
      </w:r>
      <w:r>
        <w:rPr>
          <w:rFonts w:hint="eastAsia"/>
          <w:i/>
          <w:szCs w:val="24"/>
        </w:rPr>
        <w:t>Kobresia spp.</w:t>
      </w:r>
      <w:r>
        <w:rPr>
          <w:rFonts w:hint="eastAsia"/>
          <w:szCs w:val="24"/>
        </w:rPr>
        <w:t>)、苔草（</w:t>
      </w:r>
      <w:r>
        <w:rPr>
          <w:rFonts w:hint="eastAsia"/>
          <w:i/>
          <w:szCs w:val="24"/>
        </w:rPr>
        <w:t>Carex spp.</w:t>
      </w:r>
      <w:r>
        <w:rPr>
          <w:rFonts w:hint="eastAsia"/>
          <w:szCs w:val="24"/>
        </w:rPr>
        <w:t>)等为优势。</w:t>
      </w:r>
    </w:p>
    <w:p>
      <w:pPr>
        <w:spacing w:line="560" w:lineRule="exact"/>
        <w:ind w:firstLine="482"/>
        <w:rPr>
          <w:b/>
          <w:szCs w:val="24"/>
        </w:rPr>
      </w:pPr>
      <w:r>
        <w:rPr>
          <w:rFonts w:hint="eastAsia"/>
          <w:b/>
          <w:szCs w:val="24"/>
        </w:rPr>
        <w:t>2、</w:t>
      </w:r>
      <w:r>
        <w:rPr>
          <w:b/>
          <w:szCs w:val="24"/>
        </w:rPr>
        <w:t>植被</w:t>
      </w:r>
    </w:p>
    <w:p>
      <w:pPr>
        <w:ind w:firstLine="480"/>
        <w:rPr>
          <w:szCs w:val="24"/>
        </w:rPr>
      </w:pPr>
      <w:r>
        <w:rPr>
          <w:rFonts w:hint="eastAsia"/>
          <w:szCs w:val="24"/>
        </w:rPr>
        <w:t>湿地公园内的自然植被分为2个植被型，9个群系。</w:t>
      </w:r>
    </w:p>
    <w:p>
      <w:pPr>
        <w:ind w:firstLine="482"/>
        <w:rPr>
          <w:b/>
          <w:szCs w:val="24"/>
        </w:rPr>
      </w:pPr>
      <w:r>
        <w:rPr>
          <w:rFonts w:hint="eastAsia"/>
          <w:b/>
          <w:szCs w:val="24"/>
        </w:rPr>
        <w:t>Ⅰ.灌丛</w:t>
      </w:r>
    </w:p>
    <w:p>
      <w:pPr>
        <w:ind w:firstLine="2160" w:firstLineChars="900"/>
        <w:rPr>
          <w:szCs w:val="24"/>
        </w:rPr>
      </w:pPr>
      <w:r>
        <w:rPr>
          <w:rFonts w:hint="eastAsia"/>
          <w:szCs w:val="24"/>
        </w:rPr>
        <w:t>一、 高山灌丛</w:t>
      </w:r>
    </w:p>
    <w:p>
      <w:pPr>
        <w:ind w:firstLine="4080" w:firstLineChars="1700"/>
        <w:rPr>
          <w:szCs w:val="24"/>
        </w:rPr>
      </w:pPr>
      <w:r>
        <w:rPr>
          <w:rFonts w:hint="eastAsia"/>
          <w:szCs w:val="24"/>
        </w:rPr>
        <w:t>(一) 常绿阔叶灌丛</w:t>
      </w:r>
    </w:p>
    <w:p>
      <w:pPr>
        <w:ind w:firstLine="4560" w:firstLineChars="1900"/>
        <w:rPr>
          <w:szCs w:val="24"/>
        </w:rPr>
      </w:pPr>
      <w:r>
        <w:rPr>
          <w:rFonts w:hint="eastAsia"/>
          <w:szCs w:val="24"/>
        </w:rPr>
        <w:t>1.青海杜鹃灌丛</w:t>
      </w:r>
    </w:p>
    <w:p>
      <w:pPr>
        <w:ind w:firstLine="4560" w:firstLineChars="1900"/>
        <w:rPr>
          <w:szCs w:val="24"/>
        </w:rPr>
      </w:pPr>
      <w:r>
        <w:rPr>
          <w:rFonts w:hint="eastAsia"/>
          <w:szCs w:val="24"/>
        </w:rPr>
        <w:t>2.紫丁杜鹃灌丛</w:t>
      </w:r>
    </w:p>
    <w:p>
      <w:pPr>
        <w:ind w:firstLine="4080" w:firstLineChars="1700"/>
        <w:rPr>
          <w:szCs w:val="24"/>
        </w:rPr>
      </w:pPr>
      <w:r>
        <w:rPr>
          <w:rFonts w:hint="eastAsia"/>
          <w:szCs w:val="24"/>
        </w:rPr>
        <w:t>(二) 落叶灌丛</w:t>
      </w:r>
    </w:p>
    <w:p>
      <w:pPr>
        <w:ind w:firstLine="4560" w:firstLineChars="1900"/>
        <w:rPr>
          <w:szCs w:val="24"/>
        </w:rPr>
      </w:pPr>
      <w:r>
        <w:rPr>
          <w:rFonts w:hint="eastAsia"/>
          <w:szCs w:val="24"/>
        </w:rPr>
        <w:t>3.柳灌丛</w:t>
      </w:r>
    </w:p>
    <w:p>
      <w:pPr>
        <w:ind w:firstLine="4560" w:firstLineChars="1900"/>
        <w:rPr>
          <w:szCs w:val="24"/>
        </w:rPr>
      </w:pPr>
      <w:r>
        <w:rPr>
          <w:rFonts w:hint="eastAsia"/>
          <w:szCs w:val="24"/>
        </w:rPr>
        <w:t>4.窄叶鲜卑花灌丛</w:t>
      </w:r>
    </w:p>
    <w:p>
      <w:pPr>
        <w:ind w:firstLine="4560" w:firstLineChars="1900"/>
        <w:rPr>
          <w:szCs w:val="24"/>
        </w:rPr>
      </w:pPr>
      <w:r>
        <w:rPr>
          <w:rFonts w:hint="eastAsia"/>
          <w:szCs w:val="24"/>
        </w:rPr>
        <w:t>5.金露梅灌丛</w:t>
      </w:r>
    </w:p>
    <w:p>
      <w:pPr>
        <w:ind w:firstLine="482"/>
        <w:rPr>
          <w:b/>
          <w:szCs w:val="24"/>
        </w:rPr>
      </w:pPr>
      <w:r>
        <w:rPr>
          <w:rFonts w:hint="eastAsia"/>
          <w:b/>
          <w:szCs w:val="24"/>
        </w:rPr>
        <w:t>Ⅱ.草甸</w:t>
      </w:r>
    </w:p>
    <w:p>
      <w:pPr>
        <w:ind w:firstLine="2160" w:firstLineChars="900"/>
        <w:rPr>
          <w:szCs w:val="24"/>
        </w:rPr>
      </w:pPr>
      <w:r>
        <w:rPr>
          <w:rFonts w:hint="eastAsia"/>
          <w:szCs w:val="24"/>
        </w:rPr>
        <w:t>二、高山草甸</w:t>
      </w:r>
    </w:p>
    <w:p>
      <w:pPr>
        <w:ind w:firstLine="4080" w:firstLineChars="1700"/>
        <w:rPr>
          <w:szCs w:val="24"/>
        </w:rPr>
      </w:pPr>
      <w:r>
        <w:rPr>
          <w:rFonts w:hint="eastAsia"/>
          <w:szCs w:val="24"/>
        </w:rPr>
        <w:t>(三) 杂草草甸</w:t>
      </w:r>
    </w:p>
    <w:p>
      <w:pPr>
        <w:ind w:firstLine="4560" w:firstLineChars="1900"/>
        <w:rPr>
          <w:szCs w:val="24"/>
        </w:rPr>
      </w:pPr>
      <w:r>
        <w:rPr>
          <w:rFonts w:hint="eastAsia"/>
          <w:szCs w:val="24"/>
        </w:rPr>
        <w:t>6.珠芽蓼、园穗蓼草甸</w:t>
      </w:r>
    </w:p>
    <w:p>
      <w:pPr>
        <w:ind w:firstLine="4080" w:firstLineChars="1700"/>
        <w:rPr>
          <w:szCs w:val="24"/>
        </w:rPr>
      </w:pPr>
      <w:r>
        <w:rPr>
          <w:rFonts w:hint="eastAsia"/>
          <w:szCs w:val="24"/>
        </w:rPr>
        <w:t>(四) 莎草草甸</w:t>
      </w:r>
    </w:p>
    <w:p>
      <w:pPr>
        <w:ind w:firstLine="4560" w:firstLineChars="1900"/>
        <w:rPr>
          <w:szCs w:val="24"/>
        </w:rPr>
      </w:pPr>
      <w:r>
        <w:rPr>
          <w:rFonts w:hint="eastAsia"/>
          <w:szCs w:val="24"/>
        </w:rPr>
        <w:t>7.嵩草草甸</w:t>
      </w:r>
    </w:p>
    <w:p>
      <w:pPr>
        <w:ind w:firstLine="2160" w:firstLineChars="900"/>
        <w:rPr>
          <w:szCs w:val="24"/>
        </w:rPr>
      </w:pPr>
      <w:r>
        <w:rPr>
          <w:rFonts w:hint="eastAsia"/>
          <w:szCs w:val="24"/>
        </w:rPr>
        <w:t>三、 沼泽草甸</w:t>
      </w:r>
    </w:p>
    <w:p>
      <w:pPr>
        <w:ind w:firstLine="4080" w:firstLineChars="1700"/>
        <w:rPr>
          <w:szCs w:val="24"/>
        </w:rPr>
      </w:pPr>
      <w:r>
        <w:rPr>
          <w:rFonts w:hint="eastAsia"/>
          <w:szCs w:val="24"/>
        </w:rPr>
        <w:t>(五) 沙草沼泽草甸</w:t>
      </w:r>
    </w:p>
    <w:p>
      <w:pPr>
        <w:ind w:firstLine="4560" w:firstLineChars="1900"/>
        <w:rPr>
          <w:szCs w:val="24"/>
        </w:rPr>
      </w:pPr>
      <w:r>
        <w:rPr>
          <w:rFonts w:hint="eastAsia"/>
          <w:szCs w:val="24"/>
        </w:rPr>
        <w:t>8.木里苔草、发草沼泽草甸</w:t>
      </w:r>
    </w:p>
    <w:p>
      <w:pPr>
        <w:ind w:firstLine="4560" w:firstLineChars="1900"/>
        <w:rPr>
          <w:szCs w:val="24"/>
        </w:rPr>
      </w:pPr>
      <w:r>
        <w:rPr>
          <w:rFonts w:hint="eastAsia"/>
          <w:szCs w:val="24"/>
        </w:rPr>
        <w:t>9.苔草沼泽草甸</w:t>
      </w:r>
    </w:p>
    <w:p>
      <w:pPr>
        <w:ind w:firstLine="482"/>
        <w:rPr>
          <w:b/>
          <w:szCs w:val="24"/>
        </w:rPr>
      </w:pPr>
      <w:r>
        <w:rPr>
          <w:rFonts w:hint="eastAsia"/>
          <w:b/>
          <w:szCs w:val="24"/>
        </w:rPr>
        <w:t>（1）青海杜鹃灌丛</w:t>
      </w:r>
    </w:p>
    <w:p>
      <w:pPr>
        <w:ind w:firstLine="480"/>
        <w:rPr>
          <w:szCs w:val="24"/>
        </w:rPr>
      </w:pPr>
      <w:r>
        <w:rPr>
          <w:rFonts w:hint="eastAsia"/>
          <w:szCs w:val="24"/>
        </w:rPr>
        <w:t>青海杜鹃（</w:t>
      </w:r>
      <w:r>
        <w:rPr>
          <w:rFonts w:hint="eastAsia"/>
          <w:i/>
          <w:szCs w:val="24"/>
        </w:rPr>
        <w:t>Rhododendron przewalskii</w:t>
      </w:r>
      <w:r>
        <w:rPr>
          <w:rFonts w:hint="eastAsia"/>
          <w:szCs w:val="24"/>
        </w:rPr>
        <w:t>）灌丛主要分布于湿地公园内海拔3600~4500</w:t>
      </w:r>
      <w:r>
        <w:rPr>
          <w:szCs w:val="24"/>
        </w:rPr>
        <w:t xml:space="preserve"> </w:t>
      </w:r>
      <w:r>
        <w:rPr>
          <w:rFonts w:hint="eastAsia"/>
          <w:szCs w:val="24"/>
        </w:rPr>
        <w:t>m间的阴坡。灌丛生境寒冷、阴湿、多雾。青海杜鹃灌丛为大型灌丛类型，密集丛生，外貌深褐色，整齐。灌丛盖度90%左右，丛高2~4m。伴生种有柳（</w:t>
      </w:r>
      <w:r>
        <w:rPr>
          <w:rFonts w:hint="eastAsia"/>
          <w:i/>
          <w:szCs w:val="24"/>
        </w:rPr>
        <w:t>Salix spp.</w:t>
      </w:r>
      <w:r>
        <w:rPr>
          <w:rFonts w:hint="eastAsia"/>
          <w:szCs w:val="24"/>
        </w:rPr>
        <w:t>）、樱草杜鹃（</w:t>
      </w:r>
      <w:r>
        <w:rPr>
          <w:rFonts w:hint="eastAsia"/>
          <w:i/>
          <w:szCs w:val="24"/>
        </w:rPr>
        <w:t>Rhododendron primulaeflorum</w:t>
      </w:r>
      <w:r>
        <w:rPr>
          <w:rFonts w:hint="eastAsia"/>
          <w:szCs w:val="24"/>
        </w:rPr>
        <w:t>）、金露梅（</w:t>
      </w:r>
      <w:r>
        <w:rPr>
          <w:rFonts w:hint="eastAsia"/>
          <w:i/>
          <w:szCs w:val="24"/>
        </w:rPr>
        <w:t>Dasiphora fruticosa</w:t>
      </w:r>
      <w:r>
        <w:rPr>
          <w:rFonts w:hint="eastAsia"/>
          <w:szCs w:val="24"/>
        </w:rPr>
        <w:t>）、高山绣线菊（</w:t>
      </w:r>
      <w:r>
        <w:rPr>
          <w:rFonts w:hint="eastAsia"/>
          <w:i/>
          <w:szCs w:val="24"/>
        </w:rPr>
        <w:t>Spiraea alpina</w:t>
      </w:r>
      <w:r>
        <w:rPr>
          <w:rFonts w:hint="eastAsia"/>
          <w:szCs w:val="24"/>
        </w:rPr>
        <w:t>）、窄叶鲜卑花（</w:t>
      </w:r>
      <w:r>
        <w:rPr>
          <w:rFonts w:hint="eastAsia"/>
          <w:i/>
          <w:szCs w:val="24"/>
        </w:rPr>
        <w:t>Sibiraea angustat</w:t>
      </w:r>
      <w:r>
        <w:rPr>
          <w:rFonts w:hint="eastAsia"/>
          <w:szCs w:val="24"/>
        </w:rPr>
        <w:t>）等。草本植物种类少，生长稀疏，盖度15~20%。主要种类有苔草（</w:t>
      </w:r>
      <w:r>
        <w:rPr>
          <w:rFonts w:hint="eastAsia"/>
          <w:i/>
          <w:szCs w:val="24"/>
        </w:rPr>
        <w:t>Carex spp.</w:t>
      </w:r>
      <w:r>
        <w:rPr>
          <w:rFonts w:hint="eastAsia"/>
          <w:szCs w:val="24"/>
        </w:rPr>
        <w:t>）、东方草莓（</w:t>
      </w:r>
      <w:r>
        <w:rPr>
          <w:rFonts w:hint="eastAsia"/>
          <w:i/>
          <w:szCs w:val="24"/>
        </w:rPr>
        <w:t>Fragaria orientahs</w:t>
      </w:r>
      <w:r>
        <w:rPr>
          <w:rFonts w:hint="eastAsia"/>
          <w:szCs w:val="24"/>
        </w:rPr>
        <w:t>）、红景天（</w:t>
      </w:r>
      <w:r>
        <w:rPr>
          <w:rFonts w:hint="eastAsia"/>
          <w:i/>
          <w:szCs w:val="24"/>
        </w:rPr>
        <w:t>Rrhodiola spp.</w:t>
      </w:r>
      <w:r>
        <w:rPr>
          <w:rFonts w:hint="eastAsia"/>
          <w:szCs w:val="24"/>
        </w:rPr>
        <w:t>）、圆穗蓼（</w:t>
      </w:r>
      <w:r>
        <w:rPr>
          <w:rFonts w:hint="eastAsia"/>
          <w:i/>
          <w:szCs w:val="24"/>
        </w:rPr>
        <w:t>Polygonum</w:t>
      </w:r>
      <w:r>
        <w:rPr>
          <w:i/>
          <w:szCs w:val="24"/>
        </w:rPr>
        <w:t xml:space="preserve"> </w:t>
      </w:r>
      <w:r>
        <w:rPr>
          <w:rFonts w:hint="eastAsia"/>
          <w:i/>
          <w:szCs w:val="24"/>
        </w:rPr>
        <w:t>sphaerostachyum</w:t>
      </w:r>
      <w:r>
        <w:rPr>
          <w:rFonts w:hint="eastAsia"/>
          <w:szCs w:val="24"/>
        </w:rPr>
        <w:t>）珠芽蓼（</w:t>
      </w:r>
      <w:r>
        <w:rPr>
          <w:rFonts w:hint="eastAsia"/>
          <w:i/>
          <w:szCs w:val="24"/>
        </w:rPr>
        <w:t>Polygonum viviparum</w:t>
      </w:r>
      <w:r>
        <w:rPr>
          <w:rFonts w:hint="eastAsia"/>
          <w:szCs w:val="24"/>
        </w:rPr>
        <w:t>）等。</w:t>
      </w:r>
    </w:p>
    <w:p>
      <w:pPr>
        <w:ind w:firstLine="482"/>
        <w:rPr>
          <w:b/>
          <w:szCs w:val="24"/>
        </w:rPr>
      </w:pPr>
      <w:r>
        <w:rPr>
          <w:rFonts w:hint="eastAsia"/>
          <w:b/>
          <w:szCs w:val="24"/>
        </w:rPr>
        <w:t>（2）紫丁杜鹃灌丛</w:t>
      </w:r>
    </w:p>
    <w:p>
      <w:pPr>
        <w:ind w:firstLine="480"/>
        <w:rPr>
          <w:szCs w:val="24"/>
        </w:rPr>
      </w:pPr>
      <w:r>
        <w:rPr>
          <w:rFonts w:hint="eastAsia"/>
          <w:szCs w:val="24"/>
        </w:rPr>
        <w:t>紫丁杜鹃（</w:t>
      </w:r>
      <w:r>
        <w:rPr>
          <w:rFonts w:hint="eastAsia"/>
          <w:i/>
          <w:szCs w:val="24"/>
        </w:rPr>
        <w:t>Rhododendron violaceum</w:t>
      </w:r>
      <w:r>
        <w:rPr>
          <w:rFonts w:hint="eastAsia"/>
          <w:szCs w:val="24"/>
        </w:rPr>
        <w:t>）灌丛在湿地公园内大面积分布于阴坡和谷底阶地。该灌丛低矮密集，盖度60％左右，最大可达90％，平均高约0.5</w:t>
      </w:r>
      <w:r>
        <w:rPr>
          <w:szCs w:val="24"/>
        </w:rPr>
        <w:t xml:space="preserve"> </w:t>
      </w:r>
      <w:r>
        <w:rPr>
          <w:rFonts w:hint="eastAsia"/>
          <w:szCs w:val="24"/>
        </w:rPr>
        <w:t>m，最高约1</w:t>
      </w:r>
      <w:r>
        <w:rPr>
          <w:szCs w:val="24"/>
        </w:rPr>
        <w:t xml:space="preserve"> </w:t>
      </w:r>
      <w:r>
        <w:rPr>
          <w:rFonts w:hint="eastAsia"/>
          <w:szCs w:val="24"/>
        </w:rPr>
        <w:t>m。优势种为紫丁杜鹃。常见灌木还有柳、金露梅、高山绣线菊、光亮杜鹃（</w:t>
      </w:r>
      <w:r>
        <w:rPr>
          <w:rFonts w:hint="eastAsia"/>
          <w:i/>
          <w:szCs w:val="24"/>
        </w:rPr>
        <w:t>R. nitidulum</w:t>
      </w:r>
      <w:r>
        <w:rPr>
          <w:rFonts w:hint="eastAsia"/>
          <w:szCs w:val="24"/>
        </w:rPr>
        <w:t>）等。草本植物生长于灌丛的间隙，盖度较大的种类有早熟禾、珠芽蓼、圆穗蓼等，其它常见种类还有老鹳草（</w:t>
      </w:r>
      <w:r>
        <w:rPr>
          <w:rFonts w:hint="eastAsia"/>
          <w:i/>
          <w:szCs w:val="24"/>
        </w:rPr>
        <w:t>Geranium sp.</w:t>
      </w:r>
      <w:r>
        <w:rPr>
          <w:rFonts w:hint="eastAsia"/>
          <w:szCs w:val="24"/>
        </w:rPr>
        <w:t>）、全缘绿绒蒿（</w:t>
      </w:r>
      <w:r>
        <w:rPr>
          <w:rFonts w:hint="eastAsia"/>
          <w:i/>
          <w:szCs w:val="24"/>
        </w:rPr>
        <w:t>Meconopsis integrifolia</w:t>
      </w:r>
      <w:r>
        <w:rPr>
          <w:rFonts w:hint="eastAsia"/>
          <w:szCs w:val="24"/>
        </w:rPr>
        <w:t>）、红花绿绒蒿（</w:t>
      </w:r>
      <w:r>
        <w:rPr>
          <w:rFonts w:hint="eastAsia"/>
          <w:i/>
          <w:szCs w:val="24"/>
        </w:rPr>
        <w:t>M. punicea</w:t>
      </w:r>
      <w:r>
        <w:rPr>
          <w:rFonts w:hint="eastAsia"/>
          <w:szCs w:val="24"/>
        </w:rPr>
        <w:t>）、曲花紫堇（</w:t>
      </w:r>
      <w:r>
        <w:rPr>
          <w:rFonts w:hint="eastAsia"/>
          <w:i/>
          <w:szCs w:val="24"/>
        </w:rPr>
        <w:t>Corydalis curvifiora</w:t>
      </w:r>
      <w:r>
        <w:rPr>
          <w:rFonts w:hint="eastAsia"/>
          <w:szCs w:val="24"/>
        </w:rPr>
        <w:t>）、马先蒿（</w:t>
      </w:r>
      <w:r>
        <w:rPr>
          <w:rFonts w:hint="eastAsia"/>
          <w:i/>
          <w:szCs w:val="24"/>
        </w:rPr>
        <w:t>Pedieularis sp.</w:t>
      </w:r>
      <w:r>
        <w:rPr>
          <w:rFonts w:hint="eastAsia"/>
          <w:szCs w:val="24"/>
        </w:rPr>
        <w:t>）、甘肃贝母（</w:t>
      </w:r>
      <w:r>
        <w:rPr>
          <w:rFonts w:hint="eastAsia"/>
          <w:i/>
          <w:szCs w:val="24"/>
        </w:rPr>
        <w:t>Fritillaria przewalskii</w:t>
      </w:r>
      <w:r>
        <w:rPr>
          <w:rFonts w:hint="eastAsia"/>
          <w:szCs w:val="24"/>
        </w:rPr>
        <w:t>）和报春（</w:t>
      </w:r>
      <w:r>
        <w:rPr>
          <w:rFonts w:hint="eastAsia"/>
          <w:i/>
          <w:szCs w:val="24"/>
        </w:rPr>
        <w:t>Primula sp.</w:t>
      </w:r>
      <w:r>
        <w:rPr>
          <w:rFonts w:hint="eastAsia"/>
          <w:szCs w:val="24"/>
        </w:rPr>
        <w:t>）等。</w:t>
      </w:r>
    </w:p>
    <w:p>
      <w:pPr>
        <w:ind w:firstLine="482"/>
        <w:rPr>
          <w:b/>
          <w:szCs w:val="24"/>
        </w:rPr>
      </w:pPr>
      <w:r>
        <w:rPr>
          <w:rFonts w:hint="eastAsia"/>
          <w:b/>
          <w:szCs w:val="24"/>
        </w:rPr>
        <w:t>（</w:t>
      </w:r>
      <w:r>
        <w:rPr>
          <w:b/>
          <w:szCs w:val="24"/>
        </w:rPr>
        <w:t>3</w:t>
      </w:r>
      <w:r>
        <w:rPr>
          <w:rFonts w:hint="eastAsia"/>
          <w:b/>
          <w:szCs w:val="24"/>
        </w:rPr>
        <w:t>）柳灌丛</w:t>
      </w:r>
    </w:p>
    <w:p>
      <w:pPr>
        <w:ind w:firstLine="480"/>
        <w:rPr>
          <w:szCs w:val="24"/>
        </w:rPr>
      </w:pPr>
      <w:r>
        <w:rPr>
          <w:rFonts w:hint="eastAsia"/>
          <w:szCs w:val="24"/>
        </w:rPr>
        <w:t>柳灌丛在湿地公园内分布广泛，常于溪边滩地形成大片或带状灌木林。群落外貌夏季呈绿色，丛冠参差不齐。灌丛总盖度50~70%。柳为建群种，株高0.5~3</w:t>
      </w:r>
      <w:r>
        <w:rPr>
          <w:szCs w:val="24"/>
        </w:rPr>
        <w:t xml:space="preserve"> </w:t>
      </w:r>
      <w:r>
        <w:rPr>
          <w:rFonts w:hint="eastAsia"/>
          <w:szCs w:val="24"/>
        </w:rPr>
        <w:t>m，伴生种有窄叶鲜卑花、高山绣线菊、金露梅等。草本层植物盖度40~60%，常见有嵩草（</w:t>
      </w:r>
      <w:r>
        <w:rPr>
          <w:rFonts w:hint="eastAsia"/>
          <w:i/>
          <w:szCs w:val="24"/>
        </w:rPr>
        <w:t>Kobresia spp.</w:t>
      </w:r>
      <w:r>
        <w:rPr>
          <w:rFonts w:hint="eastAsia"/>
          <w:szCs w:val="24"/>
        </w:rPr>
        <w:t>）、苔草、早熟禾、长茎毛茛（</w:t>
      </w:r>
      <w:r>
        <w:rPr>
          <w:rFonts w:hint="eastAsia"/>
          <w:i/>
          <w:szCs w:val="24"/>
        </w:rPr>
        <w:t>Ranunculus longicaulis</w:t>
      </w:r>
      <w:r>
        <w:rPr>
          <w:rFonts w:hint="eastAsia"/>
          <w:szCs w:val="24"/>
        </w:rPr>
        <w:t>）、高原毛茛（</w:t>
      </w:r>
      <w:r>
        <w:rPr>
          <w:rFonts w:hint="eastAsia"/>
          <w:i/>
          <w:szCs w:val="24"/>
        </w:rPr>
        <w:t>R. tanguticus</w:t>
      </w:r>
      <w:r>
        <w:rPr>
          <w:rFonts w:hint="eastAsia"/>
          <w:szCs w:val="24"/>
        </w:rPr>
        <w:t>）、水葫芦苗（</w:t>
      </w:r>
      <w:r>
        <w:rPr>
          <w:rFonts w:hint="eastAsia"/>
          <w:i/>
          <w:szCs w:val="24"/>
        </w:rPr>
        <w:t>Halerpestes sarmentosa</w:t>
      </w:r>
      <w:r>
        <w:rPr>
          <w:rFonts w:hint="eastAsia"/>
          <w:szCs w:val="24"/>
        </w:rPr>
        <w:t>）、鹅绒委陵菜（</w:t>
      </w:r>
      <w:r>
        <w:rPr>
          <w:rFonts w:hint="eastAsia"/>
          <w:i/>
          <w:szCs w:val="24"/>
        </w:rPr>
        <w:t>Potentilla anserina</w:t>
      </w:r>
      <w:r>
        <w:rPr>
          <w:rFonts w:hint="eastAsia"/>
          <w:szCs w:val="24"/>
        </w:rPr>
        <w:t>）、圆穗蓼、珠芽蓼、花葶驴蹄草（</w:t>
      </w:r>
      <w:r>
        <w:rPr>
          <w:rFonts w:hint="eastAsia"/>
          <w:i/>
          <w:szCs w:val="24"/>
        </w:rPr>
        <w:t>Caltha scaposa</w:t>
      </w:r>
      <w:r>
        <w:rPr>
          <w:rFonts w:hint="eastAsia"/>
          <w:szCs w:val="24"/>
        </w:rPr>
        <w:t>）、全缘绿绒蒿、橐吾（</w:t>
      </w:r>
      <w:r>
        <w:rPr>
          <w:rFonts w:hint="eastAsia"/>
          <w:i/>
          <w:szCs w:val="24"/>
        </w:rPr>
        <w:t>Ligularia spp.</w:t>
      </w:r>
      <w:r>
        <w:rPr>
          <w:rFonts w:hint="eastAsia"/>
          <w:szCs w:val="24"/>
        </w:rPr>
        <w:t>）、垂头菊（</w:t>
      </w:r>
      <w:r>
        <w:rPr>
          <w:rFonts w:hint="eastAsia"/>
          <w:i/>
          <w:szCs w:val="24"/>
        </w:rPr>
        <w:t>Cremanthodium spp.</w:t>
      </w:r>
      <w:r>
        <w:rPr>
          <w:rFonts w:hint="eastAsia"/>
          <w:szCs w:val="24"/>
        </w:rPr>
        <w:t>）、报春等。</w:t>
      </w:r>
    </w:p>
    <w:p>
      <w:pPr>
        <w:ind w:firstLine="482"/>
        <w:rPr>
          <w:b/>
          <w:szCs w:val="24"/>
        </w:rPr>
      </w:pPr>
      <w:r>
        <w:rPr>
          <w:rFonts w:hint="eastAsia"/>
          <w:b/>
          <w:szCs w:val="24"/>
        </w:rPr>
        <w:t>（</w:t>
      </w:r>
      <w:r>
        <w:rPr>
          <w:b/>
          <w:szCs w:val="24"/>
        </w:rPr>
        <w:t>4</w:t>
      </w:r>
      <w:r>
        <w:rPr>
          <w:rFonts w:hint="eastAsia"/>
          <w:b/>
          <w:szCs w:val="24"/>
        </w:rPr>
        <w:t>）窄叶鲜卑花灌丛</w:t>
      </w:r>
    </w:p>
    <w:p>
      <w:pPr>
        <w:ind w:firstLine="480"/>
        <w:rPr>
          <w:szCs w:val="24"/>
        </w:rPr>
      </w:pPr>
      <w:r>
        <w:rPr>
          <w:rFonts w:hint="eastAsia"/>
          <w:szCs w:val="24"/>
        </w:rPr>
        <w:t>窄叶鲜卑花灌丛分布于湿地公园内的阳坡和谷底阶地。群落外貌呈绿色。窄叶鲜卑花为灌木层的建群种，盖度20~40％左右，高1~1.5</w:t>
      </w:r>
      <w:r>
        <w:rPr>
          <w:szCs w:val="24"/>
        </w:rPr>
        <w:t xml:space="preserve"> </w:t>
      </w:r>
      <w:r>
        <w:rPr>
          <w:rFonts w:hint="eastAsia"/>
          <w:szCs w:val="24"/>
        </w:rPr>
        <w:t>m。灌木层中还能见到柳、绣线菊、近似小檗（</w:t>
      </w:r>
      <w:r>
        <w:rPr>
          <w:rFonts w:hint="eastAsia"/>
          <w:i/>
          <w:szCs w:val="24"/>
        </w:rPr>
        <w:t>Berberis approximata</w:t>
      </w:r>
      <w:r>
        <w:rPr>
          <w:rFonts w:hint="eastAsia"/>
          <w:szCs w:val="24"/>
        </w:rPr>
        <w:t>）、陇塞忍冬（</w:t>
      </w:r>
      <w:r>
        <w:rPr>
          <w:rFonts w:hint="eastAsia"/>
          <w:i/>
          <w:szCs w:val="24"/>
        </w:rPr>
        <w:t>Lonicera tangutica</w:t>
      </w:r>
      <w:r>
        <w:rPr>
          <w:rFonts w:hint="eastAsia"/>
          <w:szCs w:val="24"/>
        </w:rPr>
        <w:t>）、锦鸡儿（</w:t>
      </w:r>
      <w:r>
        <w:rPr>
          <w:rFonts w:hint="eastAsia"/>
          <w:i/>
          <w:szCs w:val="24"/>
        </w:rPr>
        <w:t>Caragana spp.</w:t>
      </w:r>
      <w:r>
        <w:rPr>
          <w:rFonts w:hint="eastAsia"/>
          <w:szCs w:val="24"/>
        </w:rPr>
        <w:t>）等。草本植物种类多，盖度在30％以上，优势种不明显。能形成较大盖度的有嵩草、椭圆叶花锚（</w:t>
      </w:r>
      <w:r>
        <w:rPr>
          <w:rFonts w:hint="eastAsia"/>
          <w:i/>
          <w:szCs w:val="24"/>
        </w:rPr>
        <w:t>Halenia elliptica</w:t>
      </w:r>
      <w:r>
        <w:rPr>
          <w:rFonts w:hint="eastAsia"/>
          <w:szCs w:val="24"/>
        </w:rPr>
        <w:t>）、多种马先蒿、多种龙胆、珠芽蓼、星状风毛菊（</w:t>
      </w:r>
      <w:r>
        <w:rPr>
          <w:rFonts w:hint="eastAsia"/>
          <w:i/>
          <w:szCs w:val="24"/>
        </w:rPr>
        <w:t>Saussurea stella</w:t>
      </w:r>
      <w:r>
        <w:rPr>
          <w:rFonts w:hint="eastAsia"/>
          <w:szCs w:val="24"/>
        </w:rPr>
        <w:t>）、甘西鼠尾草（</w:t>
      </w:r>
      <w:r>
        <w:rPr>
          <w:rFonts w:hint="eastAsia"/>
          <w:i/>
          <w:szCs w:val="24"/>
        </w:rPr>
        <w:t>Salvia przewalskii</w:t>
      </w:r>
      <w:r>
        <w:rPr>
          <w:rFonts w:hint="eastAsia"/>
          <w:szCs w:val="24"/>
        </w:rPr>
        <w:t>）、甘肃贝母等。</w:t>
      </w:r>
    </w:p>
    <w:p>
      <w:pPr>
        <w:ind w:firstLine="482"/>
        <w:rPr>
          <w:b/>
          <w:szCs w:val="24"/>
        </w:rPr>
      </w:pPr>
      <w:r>
        <w:rPr>
          <w:rFonts w:hint="eastAsia"/>
          <w:b/>
          <w:szCs w:val="24"/>
        </w:rPr>
        <w:t>（</w:t>
      </w:r>
      <w:r>
        <w:rPr>
          <w:b/>
          <w:szCs w:val="24"/>
        </w:rPr>
        <w:t>5</w:t>
      </w:r>
      <w:r>
        <w:rPr>
          <w:rFonts w:hint="eastAsia"/>
          <w:b/>
          <w:szCs w:val="24"/>
        </w:rPr>
        <w:t>）金露梅灌丛</w:t>
      </w:r>
    </w:p>
    <w:p>
      <w:pPr>
        <w:ind w:firstLine="480"/>
        <w:rPr>
          <w:szCs w:val="24"/>
        </w:rPr>
      </w:pPr>
      <w:r>
        <w:rPr>
          <w:rFonts w:hint="eastAsia"/>
          <w:szCs w:val="24"/>
        </w:rPr>
        <w:t>金露梅灌丛在湿地公园内分布于宽谷下部。群落外貌呈绿色或深绿色，矮小且成团状，丛高常在60</w:t>
      </w:r>
      <w:r>
        <w:rPr>
          <w:szCs w:val="24"/>
        </w:rPr>
        <w:t xml:space="preserve"> </w:t>
      </w:r>
      <w:r>
        <w:rPr>
          <w:rFonts w:hint="eastAsia"/>
          <w:szCs w:val="24"/>
        </w:rPr>
        <w:t>cm以下，绣线菊的枝条常高出丛冠之上。金露梅、绣线菊为灌木层的优势种。金露梅的优势度稍大，盖度可达30%左右，高30~40</w:t>
      </w:r>
      <w:r>
        <w:rPr>
          <w:szCs w:val="24"/>
        </w:rPr>
        <w:t xml:space="preserve"> </w:t>
      </w:r>
      <w:r>
        <w:rPr>
          <w:rFonts w:hint="eastAsia"/>
          <w:szCs w:val="24"/>
        </w:rPr>
        <w:t>cm。常见的灌木还有柳、窄叶鲜卑花、锦鸡儿、紫丁杜鹃等。草本植物种类丰富，盖度在50%以上，但优势种多不明显。常见的有蒿草、羊茅（</w:t>
      </w:r>
      <w:r>
        <w:rPr>
          <w:rFonts w:hint="eastAsia"/>
          <w:i/>
          <w:szCs w:val="24"/>
        </w:rPr>
        <w:t>Festuca ovina</w:t>
      </w:r>
      <w:r>
        <w:rPr>
          <w:rFonts w:hint="eastAsia"/>
          <w:szCs w:val="24"/>
        </w:rPr>
        <w:t>）、珠芽蓼、早熟禾、高原毛茛（</w:t>
      </w:r>
      <w:r>
        <w:rPr>
          <w:rFonts w:hint="eastAsia"/>
          <w:i/>
          <w:szCs w:val="24"/>
        </w:rPr>
        <w:t>R. tanguticus</w:t>
      </w:r>
      <w:r>
        <w:rPr>
          <w:rFonts w:hint="eastAsia"/>
          <w:szCs w:val="24"/>
        </w:rPr>
        <w:t>）、萎陵菜、禾叶凤毛菊（</w:t>
      </w:r>
      <w:r>
        <w:rPr>
          <w:rFonts w:hint="eastAsia"/>
          <w:i/>
          <w:szCs w:val="24"/>
        </w:rPr>
        <w:t>Saussurea graminea</w:t>
      </w:r>
      <w:r>
        <w:rPr>
          <w:rFonts w:hint="eastAsia"/>
          <w:szCs w:val="24"/>
        </w:rPr>
        <w:t>）、高山唐松草（</w:t>
      </w:r>
      <w:r>
        <w:rPr>
          <w:rFonts w:hint="eastAsia"/>
          <w:i/>
          <w:szCs w:val="24"/>
        </w:rPr>
        <w:t>Thalictrum alpinum</w:t>
      </w:r>
      <w:r>
        <w:rPr>
          <w:rFonts w:hint="eastAsia"/>
          <w:szCs w:val="24"/>
        </w:rPr>
        <w:t>）、马先蒿、红花绿绒蒿、全缘绿绒蒿等。</w:t>
      </w:r>
    </w:p>
    <w:p>
      <w:pPr>
        <w:ind w:firstLine="482"/>
        <w:rPr>
          <w:b/>
          <w:szCs w:val="24"/>
        </w:rPr>
      </w:pPr>
      <w:r>
        <w:rPr>
          <w:rFonts w:hint="eastAsia"/>
          <w:b/>
          <w:szCs w:val="24"/>
        </w:rPr>
        <w:t>（</w:t>
      </w:r>
      <w:r>
        <w:rPr>
          <w:b/>
          <w:szCs w:val="24"/>
        </w:rPr>
        <w:t>6</w:t>
      </w:r>
      <w:r>
        <w:rPr>
          <w:rFonts w:hint="eastAsia"/>
          <w:b/>
          <w:szCs w:val="24"/>
        </w:rPr>
        <w:t>）珠芽蓼、圆穗蓼草甸</w:t>
      </w:r>
    </w:p>
    <w:p>
      <w:pPr>
        <w:ind w:firstLine="480"/>
        <w:rPr>
          <w:szCs w:val="24"/>
        </w:rPr>
      </w:pPr>
      <w:r>
        <w:rPr>
          <w:rFonts w:hint="eastAsia"/>
          <w:szCs w:val="24"/>
        </w:rPr>
        <w:t>珠芽蓼、圆穗蓼草甸在湿地公园内分布于缓坡、宽谷、阶地。群落外貌富于季相变化，花期呈现一片五彩缤纷的景观。草本层参差不齐，草本种类丰富，总盖度在90％以上，其中珠芽蓼和圆穗蓼的盖度10~30％左右，高10~25</w:t>
      </w:r>
      <w:r>
        <w:rPr>
          <w:szCs w:val="24"/>
        </w:rPr>
        <w:t xml:space="preserve"> </w:t>
      </w:r>
      <w:r>
        <w:rPr>
          <w:rFonts w:hint="eastAsia"/>
          <w:szCs w:val="24"/>
        </w:rPr>
        <w:t>cm。常可见到垂穗鹅观草（</w:t>
      </w:r>
      <w:r>
        <w:rPr>
          <w:rFonts w:hint="eastAsia"/>
          <w:i/>
          <w:szCs w:val="24"/>
        </w:rPr>
        <w:t>Roegneria nutans</w:t>
      </w:r>
      <w:r>
        <w:rPr>
          <w:rFonts w:hint="eastAsia"/>
          <w:szCs w:val="24"/>
        </w:rPr>
        <w:t>）、针茅（</w:t>
      </w:r>
      <w:r>
        <w:rPr>
          <w:rFonts w:hint="eastAsia"/>
          <w:i/>
          <w:szCs w:val="24"/>
        </w:rPr>
        <w:t>Stipa capillacea</w:t>
      </w:r>
      <w:r>
        <w:rPr>
          <w:rFonts w:hint="eastAsia"/>
          <w:szCs w:val="24"/>
        </w:rPr>
        <w:t>）、早熟禾、嵩草等禾本科和莎草科植物。其它杂草常见的有金莲花（</w:t>
      </w:r>
      <w:r>
        <w:rPr>
          <w:rFonts w:hint="eastAsia"/>
          <w:i/>
          <w:szCs w:val="24"/>
        </w:rPr>
        <w:t>Trollius farreri</w:t>
      </w:r>
      <w:r>
        <w:rPr>
          <w:rFonts w:hint="eastAsia"/>
          <w:szCs w:val="24"/>
        </w:rPr>
        <w:t>）、高原毛茛、缘毛紫菀（</w:t>
      </w:r>
      <w:r>
        <w:rPr>
          <w:rFonts w:hint="eastAsia"/>
          <w:i/>
          <w:szCs w:val="24"/>
        </w:rPr>
        <w:t>Aster souliei</w:t>
      </w:r>
      <w:r>
        <w:rPr>
          <w:rFonts w:hint="eastAsia"/>
          <w:szCs w:val="24"/>
        </w:rPr>
        <w:t>）、委陵菜、肉果草（</w:t>
      </w:r>
      <w:r>
        <w:rPr>
          <w:rFonts w:hint="eastAsia"/>
          <w:i/>
          <w:szCs w:val="24"/>
        </w:rPr>
        <w:t>Lancea tibetica</w:t>
      </w:r>
      <w:r>
        <w:rPr>
          <w:rFonts w:hint="eastAsia"/>
          <w:szCs w:val="24"/>
        </w:rPr>
        <w:t>）、瞿麦、蒲公英（</w:t>
      </w:r>
      <w:r>
        <w:rPr>
          <w:rFonts w:hint="eastAsia"/>
          <w:i/>
          <w:szCs w:val="24"/>
        </w:rPr>
        <w:t>Taraxacum spp.</w:t>
      </w:r>
      <w:r>
        <w:rPr>
          <w:rFonts w:hint="eastAsia"/>
          <w:szCs w:val="24"/>
        </w:rPr>
        <w:t>）、火绒草（</w:t>
      </w:r>
      <w:r>
        <w:rPr>
          <w:rFonts w:hint="eastAsia"/>
          <w:i/>
          <w:szCs w:val="24"/>
        </w:rPr>
        <w:t>Leontopodium spp.</w:t>
      </w:r>
      <w:r>
        <w:rPr>
          <w:rFonts w:hint="eastAsia"/>
          <w:szCs w:val="24"/>
        </w:rPr>
        <w:t>）以及多种龙胆和马先蒿等。</w:t>
      </w:r>
    </w:p>
    <w:p>
      <w:pPr>
        <w:ind w:firstLine="482"/>
        <w:rPr>
          <w:b/>
          <w:szCs w:val="24"/>
        </w:rPr>
      </w:pPr>
      <w:r>
        <w:rPr>
          <w:rFonts w:hint="eastAsia"/>
          <w:b/>
          <w:szCs w:val="24"/>
        </w:rPr>
        <w:t>（</w:t>
      </w:r>
      <w:r>
        <w:rPr>
          <w:b/>
          <w:szCs w:val="24"/>
        </w:rPr>
        <w:t>7</w:t>
      </w:r>
      <w:r>
        <w:rPr>
          <w:rFonts w:hint="eastAsia"/>
          <w:b/>
          <w:szCs w:val="24"/>
        </w:rPr>
        <w:t>）嵩草草甸</w:t>
      </w:r>
    </w:p>
    <w:p>
      <w:pPr>
        <w:ind w:firstLine="480"/>
        <w:rPr>
          <w:szCs w:val="24"/>
        </w:rPr>
      </w:pPr>
      <w:r>
        <w:rPr>
          <w:rFonts w:hint="eastAsia"/>
          <w:szCs w:val="24"/>
        </w:rPr>
        <w:t>嵩草草甸在湿地公园内分布于缓坡、宽谷、阶地。表层草根紧密盘结，总盖度70~95％。其中嵩草占绝对优势，盖度30％左右，一般高2~4</w:t>
      </w:r>
      <w:r>
        <w:rPr>
          <w:szCs w:val="24"/>
        </w:rPr>
        <w:t xml:space="preserve"> </w:t>
      </w:r>
      <w:r>
        <w:rPr>
          <w:rFonts w:hint="eastAsia"/>
          <w:szCs w:val="24"/>
        </w:rPr>
        <w:t>cm。其它草本种类繁多，常见种类有：早熟禾、垂穗鹅冠草、珠芽蓼、萎陵菜、星状风毛菊、龙胆、毛茛、老鹳草、椭圆叶花锚等。</w:t>
      </w:r>
    </w:p>
    <w:p>
      <w:pPr>
        <w:ind w:firstLine="482"/>
        <w:rPr>
          <w:b/>
          <w:szCs w:val="24"/>
        </w:rPr>
      </w:pPr>
      <w:r>
        <w:rPr>
          <w:rFonts w:hint="eastAsia"/>
          <w:b/>
          <w:szCs w:val="24"/>
        </w:rPr>
        <w:t>（</w:t>
      </w:r>
      <w:r>
        <w:rPr>
          <w:b/>
          <w:szCs w:val="24"/>
        </w:rPr>
        <w:t>8</w:t>
      </w:r>
      <w:r>
        <w:rPr>
          <w:rFonts w:hint="eastAsia"/>
          <w:b/>
          <w:szCs w:val="24"/>
        </w:rPr>
        <w:t>）木里苔草、发草沼泽草甸</w:t>
      </w:r>
    </w:p>
    <w:p>
      <w:pPr>
        <w:ind w:firstLine="480"/>
        <w:rPr>
          <w:szCs w:val="24"/>
        </w:rPr>
      </w:pPr>
      <w:r>
        <w:rPr>
          <w:rFonts w:hint="eastAsia"/>
          <w:szCs w:val="24"/>
        </w:rPr>
        <w:t>木里苔草、发草沼泽草甸在湿地公园内分布于河滩沼泽湿地。群落以木里苔草（</w:t>
      </w:r>
      <w:r>
        <w:rPr>
          <w:rFonts w:hint="eastAsia"/>
          <w:i/>
          <w:szCs w:val="24"/>
        </w:rPr>
        <w:t>Carex muliensis</w:t>
      </w:r>
      <w:r>
        <w:rPr>
          <w:rFonts w:hint="eastAsia"/>
          <w:szCs w:val="24"/>
        </w:rPr>
        <w:t>）、发草（</w:t>
      </w:r>
      <w:r>
        <w:rPr>
          <w:rFonts w:hint="eastAsia"/>
          <w:i/>
          <w:iCs/>
          <w:szCs w:val="24"/>
        </w:rPr>
        <w:t>Deschampsia caespitosa</w:t>
      </w:r>
      <w:r>
        <w:rPr>
          <w:rFonts w:hint="eastAsia"/>
          <w:szCs w:val="24"/>
        </w:rPr>
        <w:t>）为建群种，盖度40~60%，高度20~30cm。种类组成较单纯，多为沼生植物，常见的种类还有矮生嵩草（</w:t>
      </w:r>
      <w:r>
        <w:rPr>
          <w:rFonts w:hint="eastAsia"/>
          <w:i/>
          <w:iCs/>
          <w:szCs w:val="24"/>
        </w:rPr>
        <w:t>Kobresia humilis</w:t>
      </w:r>
      <w:r>
        <w:rPr>
          <w:rFonts w:hint="eastAsia"/>
          <w:szCs w:val="24"/>
        </w:rPr>
        <w:t>）、早熟禾、垂头菊（</w:t>
      </w:r>
      <w:r>
        <w:rPr>
          <w:rFonts w:hint="eastAsia"/>
          <w:i/>
          <w:iCs/>
          <w:szCs w:val="24"/>
        </w:rPr>
        <w:t>Cremanthodium spp.</w:t>
      </w:r>
      <w:r>
        <w:rPr>
          <w:rFonts w:hint="eastAsia"/>
          <w:szCs w:val="24"/>
        </w:rPr>
        <w:t>）、水葫芦苗 、花葶驴蹄草、矮泽芹。</w:t>
      </w:r>
    </w:p>
    <w:p>
      <w:pPr>
        <w:ind w:firstLine="482"/>
        <w:rPr>
          <w:b/>
          <w:szCs w:val="24"/>
        </w:rPr>
      </w:pPr>
      <w:r>
        <w:rPr>
          <w:rFonts w:hint="eastAsia"/>
          <w:b/>
          <w:szCs w:val="24"/>
        </w:rPr>
        <w:t>（</w:t>
      </w:r>
      <w:r>
        <w:rPr>
          <w:b/>
          <w:szCs w:val="24"/>
        </w:rPr>
        <w:t>9</w:t>
      </w:r>
      <w:r>
        <w:rPr>
          <w:rFonts w:hint="eastAsia"/>
          <w:b/>
          <w:szCs w:val="24"/>
        </w:rPr>
        <w:t>）苔草沼泽草甸</w:t>
      </w:r>
    </w:p>
    <w:p>
      <w:pPr>
        <w:ind w:firstLine="480"/>
        <w:rPr>
          <w:szCs w:val="24"/>
        </w:rPr>
      </w:pPr>
      <w:r>
        <w:rPr>
          <w:rFonts w:hint="eastAsia"/>
          <w:szCs w:val="24"/>
        </w:rPr>
        <w:t>苔草沼泽草甸分布于湿地公园内的河滩沼泽湿地中，所处地形为闭流宽谷，地表平坦低洼，长年积水，水深5~30</w:t>
      </w:r>
      <w:r>
        <w:rPr>
          <w:szCs w:val="24"/>
        </w:rPr>
        <w:t xml:space="preserve"> </w:t>
      </w:r>
      <w:r>
        <w:rPr>
          <w:rFonts w:hint="eastAsia"/>
          <w:szCs w:val="24"/>
        </w:rPr>
        <w:t>cm。建群种为苔草（</w:t>
      </w:r>
      <w:r>
        <w:rPr>
          <w:rFonts w:hint="eastAsia"/>
          <w:i/>
          <w:szCs w:val="24"/>
        </w:rPr>
        <w:t>Carex spp.</w:t>
      </w:r>
      <w:r>
        <w:rPr>
          <w:rFonts w:hint="eastAsia"/>
          <w:szCs w:val="24"/>
        </w:rPr>
        <w:t>），其次为木里苔草等，处于群落上层。下层则有无柄水毛茛（</w:t>
      </w:r>
      <w:r>
        <w:rPr>
          <w:rFonts w:hint="eastAsia"/>
          <w:i/>
          <w:szCs w:val="24"/>
        </w:rPr>
        <w:t>Batrachium trichophyllum</w:t>
      </w:r>
      <w:r>
        <w:rPr>
          <w:rFonts w:hint="eastAsia"/>
          <w:szCs w:val="24"/>
        </w:rPr>
        <w:t>）、杉叶藻（</w:t>
      </w:r>
      <w:r>
        <w:rPr>
          <w:rFonts w:hint="eastAsia"/>
          <w:i/>
          <w:szCs w:val="24"/>
        </w:rPr>
        <w:t>Hippuris vulgaris</w:t>
      </w:r>
      <w:r>
        <w:rPr>
          <w:rFonts w:hint="eastAsia"/>
          <w:szCs w:val="24"/>
        </w:rPr>
        <w:t>）、帕米尔眼子菜（</w:t>
      </w:r>
      <w:r>
        <w:rPr>
          <w:rFonts w:hint="eastAsia"/>
          <w:i/>
          <w:szCs w:val="24"/>
        </w:rPr>
        <w:t>Potamogeton pamiricus</w:t>
      </w:r>
      <w:r>
        <w:rPr>
          <w:rFonts w:hint="eastAsia"/>
          <w:szCs w:val="24"/>
        </w:rPr>
        <w:t>）、水麦冬（</w:t>
      </w:r>
      <w:r>
        <w:rPr>
          <w:rFonts w:hint="eastAsia"/>
          <w:i/>
          <w:szCs w:val="24"/>
        </w:rPr>
        <w:t>Trilochin palustre</w:t>
      </w:r>
      <w:r>
        <w:rPr>
          <w:rFonts w:hint="eastAsia"/>
          <w:szCs w:val="24"/>
        </w:rPr>
        <w:t>）等。</w:t>
      </w:r>
    </w:p>
    <w:p>
      <w:pPr>
        <w:pStyle w:val="6"/>
        <w:numPr>
          <w:ilvl w:val="3"/>
          <w:numId w:val="0"/>
        </w:numPr>
        <w:ind w:leftChars="0"/>
      </w:pPr>
      <w:r>
        <w:rPr>
          <w:rFonts w:hint="eastAsia"/>
          <w:lang w:val="en-US" w:eastAsia="zh-CN"/>
        </w:rPr>
        <w:t xml:space="preserve">3.3.2.2 </w:t>
      </w:r>
      <w:r>
        <w:t>动物资源</w:t>
      </w:r>
    </w:p>
    <w:p>
      <w:pPr>
        <w:pStyle w:val="107"/>
        <w:ind w:firstLine="480"/>
        <w:rPr>
          <w:rFonts w:ascii="Times New Roman"/>
          <w:sz w:val="24"/>
          <w:szCs w:val="24"/>
        </w:rPr>
      </w:pPr>
      <w:r>
        <w:rPr>
          <w:rFonts w:hint="eastAsia" w:ascii="Times New Roman"/>
          <w:sz w:val="24"/>
          <w:szCs w:val="24"/>
        </w:rPr>
        <w:t>调查并结合历史资料，初步确认湿地公园范围内有脊椎动物21目48科83属109种。其中鱼类1目2科2属2种，两栖类2目4科5属5种，爬行类1目3科3属3种，鸟类13目26科53属76种，哺乳类4目13科20属23种。</w:t>
      </w:r>
    </w:p>
    <w:p>
      <w:pPr>
        <w:pStyle w:val="107"/>
        <w:ind w:firstLine="480"/>
        <w:rPr>
          <w:rFonts w:hint="eastAsia" w:ascii="Times New Roman"/>
          <w:sz w:val="24"/>
          <w:szCs w:val="24"/>
          <w:highlight w:val="none"/>
        </w:rPr>
      </w:pPr>
      <w:r>
        <w:rPr>
          <w:rFonts w:hint="eastAsia" w:ascii="Times New Roman"/>
          <w:sz w:val="24"/>
          <w:szCs w:val="24"/>
        </w:rPr>
        <w:t>上述109种脊椎动物中，有国家重点保护野生动物1</w:t>
      </w:r>
      <w:r>
        <w:rPr>
          <w:rFonts w:hint="eastAsia" w:ascii="Times New Roman"/>
          <w:sz w:val="24"/>
          <w:szCs w:val="24"/>
          <w:lang w:val="en-US" w:eastAsia="zh-CN"/>
        </w:rPr>
        <w:t>4</w:t>
      </w:r>
      <w:r>
        <w:rPr>
          <w:rFonts w:hint="eastAsia" w:ascii="Times New Roman"/>
          <w:sz w:val="24"/>
          <w:szCs w:val="24"/>
        </w:rPr>
        <w:t>种，占该区现已知有分布的脊椎动物总种数的</w:t>
      </w:r>
      <w:r>
        <w:rPr>
          <w:rFonts w:hint="eastAsia" w:ascii="Times New Roman"/>
          <w:sz w:val="24"/>
          <w:szCs w:val="24"/>
          <w:lang w:val="en-US" w:eastAsia="zh-CN"/>
        </w:rPr>
        <w:t>12.84</w:t>
      </w:r>
      <w:r>
        <w:rPr>
          <w:rFonts w:hint="eastAsia" w:ascii="Times New Roman"/>
          <w:sz w:val="24"/>
          <w:szCs w:val="24"/>
        </w:rPr>
        <w:t>%。其中国家Ⅰ级保护野生动物</w:t>
      </w:r>
      <w:r>
        <w:rPr>
          <w:rFonts w:hint="eastAsia" w:ascii="Times New Roman"/>
          <w:sz w:val="24"/>
          <w:szCs w:val="24"/>
          <w:highlight w:val="none"/>
          <w:lang w:val="en-US" w:eastAsia="zh-CN"/>
        </w:rPr>
        <w:t>4</w:t>
      </w:r>
      <w:r>
        <w:rPr>
          <w:rFonts w:hint="eastAsia" w:ascii="Times New Roman"/>
          <w:sz w:val="24"/>
          <w:szCs w:val="24"/>
          <w:highlight w:val="none"/>
        </w:rPr>
        <w:t>种，国家Ⅱ级保护野生动物</w:t>
      </w:r>
      <w:r>
        <w:rPr>
          <w:rFonts w:hint="eastAsia" w:ascii="Times New Roman"/>
          <w:sz w:val="24"/>
          <w:szCs w:val="24"/>
          <w:highlight w:val="none"/>
          <w:lang w:val="en-US" w:eastAsia="zh-CN"/>
        </w:rPr>
        <w:t>10</w:t>
      </w:r>
      <w:r>
        <w:rPr>
          <w:rFonts w:hint="eastAsia" w:ascii="Times New Roman"/>
          <w:sz w:val="24"/>
          <w:szCs w:val="24"/>
          <w:highlight w:val="none"/>
        </w:rPr>
        <w:t>种，详见表</w:t>
      </w:r>
      <w:r>
        <w:rPr>
          <w:rFonts w:hint="eastAsia" w:ascii="Times New Roman"/>
          <w:sz w:val="24"/>
          <w:szCs w:val="24"/>
          <w:highlight w:val="none"/>
          <w:lang w:val="en-US" w:eastAsia="zh-CN"/>
        </w:rPr>
        <w:t>3</w:t>
      </w:r>
      <w:r>
        <w:rPr>
          <w:rFonts w:hint="eastAsia" w:ascii="Times New Roman"/>
          <w:sz w:val="24"/>
          <w:szCs w:val="24"/>
          <w:highlight w:val="none"/>
        </w:rPr>
        <w:t>-4。</w:t>
      </w:r>
    </w:p>
    <w:p>
      <w:pPr>
        <w:pStyle w:val="107"/>
        <w:ind w:firstLine="480"/>
        <w:rPr>
          <w:rFonts w:hint="eastAsia" w:ascii="Times New Roman"/>
          <w:sz w:val="24"/>
          <w:szCs w:val="24"/>
        </w:rPr>
      </w:pPr>
    </w:p>
    <w:p>
      <w:pPr>
        <w:pStyle w:val="107"/>
        <w:ind w:firstLine="480"/>
        <w:rPr>
          <w:rFonts w:hint="eastAsia" w:ascii="Times New Roman"/>
          <w:sz w:val="24"/>
          <w:szCs w:val="24"/>
        </w:rPr>
      </w:pPr>
    </w:p>
    <w:p>
      <w:pPr>
        <w:spacing w:line="560" w:lineRule="exact"/>
        <w:ind w:firstLine="0" w:firstLineChars="0"/>
        <w:jc w:val="center"/>
        <w:rPr>
          <w:b/>
          <w:szCs w:val="21"/>
        </w:rPr>
      </w:pPr>
      <w:r>
        <w:rPr>
          <w:b/>
          <w:szCs w:val="21"/>
        </w:rPr>
        <w:t>表</w:t>
      </w:r>
      <w:r>
        <w:rPr>
          <w:rFonts w:hint="eastAsia"/>
          <w:b/>
          <w:szCs w:val="21"/>
          <w:lang w:val="en-US" w:eastAsia="zh-CN"/>
        </w:rPr>
        <w:t>3</w:t>
      </w:r>
      <w:r>
        <w:rPr>
          <w:b/>
          <w:szCs w:val="21"/>
        </w:rPr>
        <w:t>-4</w:t>
      </w:r>
      <w:r>
        <w:rPr>
          <w:rFonts w:hint="eastAsia"/>
          <w:b/>
          <w:szCs w:val="21"/>
        </w:rPr>
        <w:t>四川莲宝叶则国家湿地公园国家重点保护野生动物名录</w:t>
      </w:r>
    </w:p>
    <w:tbl>
      <w:tblPr>
        <w:tblStyle w:val="4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51"/>
        <w:gridCol w:w="654"/>
        <w:gridCol w:w="2494"/>
        <w:gridCol w:w="1346"/>
        <w:gridCol w:w="8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2951" w:type="dxa"/>
            <w:vAlign w:val="center"/>
          </w:tcPr>
          <w:p>
            <w:pPr>
              <w:pStyle w:val="107"/>
              <w:keepNext w:val="0"/>
              <w:keepLines w:val="0"/>
              <w:pageBreakBefore w:val="0"/>
              <w:widowControl/>
              <w:kinsoku/>
              <w:wordWrap/>
              <w:overflowPunct/>
              <w:topLinePunct w:val="0"/>
              <w:autoSpaceDE w:val="0"/>
              <w:autoSpaceDN w:val="0"/>
              <w:bidi w:val="0"/>
              <w:adjustRightInd/>
              <w:snapToGrid/>
              <w:spacing w:line="240" w:lineRule="exact"/>
              <w:ind w:firstLine="0" w:firstLineChars="0"/>
              <w:jc w:val="center"/>
              <w:textAlignment w:val="auto"/>
              <w:rPr>
                <w:rFonts w:ascii="Times New Roman" w:hAnsi="Times New Roman" w:eastAsiaTheme="minorEastAsia"/>
                <w:b/>
                <w:bCs/>
                <w:szCs w:val="21"/>
              </w:rPr>
            </w:pPr>
            <w:r>
              <w:rPr>
                <w:rFonts w:ascii="Times New Roman" w:hAnsi="Times New Roman" w:eastAsiaTheme="minorEastAsia"/>
                <w:b/>
                <w:bCs/>
                <w:szCs w:val="21"/>
              </w:rPr>
              <w:t>物</w:t>
            </w:r>
            <w:r>
              <w:rPr>
                <w:rFonts w:hint="eastAsia" w:ascii="Times New Roman" w:eastAsiaTheme="minorEastAsia"/>
                <w:b/>
                <w:bCs/>
                <w:szCs w:val="21"/>
                <w:lang w:val="en-US" w:eastAsia="zh-CN"/>
              </w:rPr>
              <w:t xml:space="preserve">  </w:t>
            </w:r>
            <w:r>
              <w:rPr>
                <w:rFonts w:ascii="Times New Roman" w:hAnsi="Times New Roman" w:eastAsiaTheme="minorEastAsia"/>
                <w:b/>
                <w:bCs/>
                <w:szCs w:val="21"/>
              </w:rPr>
              <w:t>种</w:t>
            </w:r>
          </w:p>
        </w:tc>
        <w:tc>
          <w:tcPr>
            <w:tcW w:w="654" w:type="dxa"/>
          </w:tcPr>
          <w:p>
            <w:pPr>
              <w:pStyle w:val="107"/>
              <w:keepNext w:val="0"/>
              <w:keepLines w:val="0"/>
              <w:pageBreakBefore w:val="0"/>
              <w:widowControl/>
              <w:kinsoku/>
              <w:wordWrap/>
              <w:overflowPunct/>
              <w:topLinePunct w:val="0"/>
              <w:autoSpaceDE w:val="0"/>
              <w:autoSpaceDN w:val="0"/>
              <w:bidi w:val="0"/>
              <w:adjustRightInd/>
              <w:snapToGrid/>
              <w:spacing w:line="240" w:lineRule="exact"/>
              <w:ind w:firstLine="0" w:firstLineChars="0"/>
              <w:jc w:val="center"/>
              <w:textAlignment w:val="auto"/>
              <w:rPr>
                <w:rFonts w:hint="eastAsia" w:ascii="Times New Roman" w:hAnsi="Times New Roman" w:eastAsiaTheme="minorEastAsia"/>
                <w:b/>
                <w:bCs/>
                <w:szCs w:val="21"/>
                <w:lang w:val="en-US" w:eastAsia="zh-CN"/>
              </w:rPr>
            </w:pPr>
            <w:r>
              <w:rPr>
                <w:rFonts w:ascii="Times New Roman" w:hAnsi="Times New Roman" w:eastAsiaTheme="minorEastAsia"/>
                <w:b/>
                <w:bCs/>
                <w:szCs w:val="21"/>
              </w:rPr>
              <w:t>保护</w:t>
            </w:r>
            <w:r>
              <w:rPr>
                <w:rFonts w:hint="eastAsia" w:ascii="Times New Roman" w:eastAsiaTheme="minorEastAsia"/>
                <w:b/>
                <w:bCs/>
                <w:szCs w:val="21"/>
                <w:lang w:eastAsia="zh-CN"/>
              </w:rPr>
              <w:t>等级</w:t>
            </w:r>
          </w:p>
        </w:tc>
        <w:tc>
          <w:tcPr>
            <w:tcW w:w="2494" w:type="dxa"/>
            <w:vAlign w:val="center"/>
          </w:tcPr>
          <w:p>
            <w:pPr>
              <w:pStyle w:val="107"/>
              <w:keepNext w:val="0"/>
              <w:keepLines w:val="0"/>
              <w:pageBreakBefore w:val="0"/>
              <w:widowControl/>
              <w:kinsoku/>
              <w:wordWrap/>
              <w:overflowPunct/>
              <w:topLinePunct w:val="0"/>
              <w:autoSpaceDE w:val="0"/>
              <w:autoSpaceDN w:val="0"/>
              <w:bidi w:val="0"/>
              <w:adjustRightInd/>
              <w:snapToGrid/>
              <w:spacing w:line="240" w:lineRule="exact"/>
              <w:ind w:firstLine="0" w:firstLineChars="0"/>
              <w:jc w:val="center"/>
              <w:textAlignment w:val="auto"/>
              <w:rPr>
                <w:rFonts w:ascii="Times New Roman" w:hAnsi="Times New Roman" w:eastAsiaTheme="minorEastAsia"/>
                <w:b/>
                <w:bCs/>
                <w:szCs w:val="21"/>
              </w:rPr>
            </w:pPr>
            <w:r>
              <w:rPr>
                <w:rFonts w:ascii="Times New Roman" w:hAnsi="Times New Roman" w:eastAsiaTheme="minorEastAsia"/>
                <w:b/>
                <w:bCs/>
                <w:szCs w:val="21"/>
              </w:rPr>
              <w:t>生境特征</w:t>
            </w:r>
          </w:p>
        </w:tc>
        <w:tc>
          <w:tcPr>
            <w:tcW w:w="1346" w:type="dxa"/>
            <w:vAlign w:val="center"/>
          </w:tcPr>
          <w:p>
            <w:pPr>
              <w:pStyle w:val="107"/>
              <w:spacing w:line="240" w:lineRule="auto"/>
              <w:ind w:firstLine="0" w:firstLineChars="0"/>
              <w:jc w:val="center"/>
              <w:rPr>
                <w:rFonts w:ascii="Times New Roman" w:hAnsi="Times New Roman" w:eastAsiaTheme="minorEastAsia"/>
                <w:b/>
                <w:bCs/>
                <w:szCs w:val="21"/>
              </w:rPr>
            </w:pPr>
            <w:r>
              <w:rPr>
                <w:rFonts w:ascii="Times New Roman" w:hAnsi="Times New Roman" w:eastAsiaTheme="minorEastAsia"/>
                <w:b/>
                <w:bCs/>
                <w:szCs w:val="21"/>
              </w:rPr>
              <w:t>分布高程</w:t>
            </w:r>
          </w:p>
        </w:tc>
        <w:tc>
          <w:tcPr>
            <w:tcW w:w="857" w:type="dxa"/>
            <w:vAlign w:val="center"/>
          </w:tcPr>
          <w:p>
            <w:pPr>
              <w:pStyle w:val="107"/>
              <w:spacing w:line="240" w:lineRule="auto"/>
              <w:ind w:firstLine="0" w:firstLineChars="0"/>
              <w:jc w:val="center"/>
              <w:rPr>
                <w:rFonts w:ascii="Times New Roman" w:hAnsi="Times New Roman" w:eastAsiaTheme="minorEastAsia"/>
                <w:b/>
                <w:bCs/>
                <w:szCs w:val="21"/>
              </w:rPr>
            </w:pPr>
            <w:r>
              <w:rPr>
                <w:rFonts w:ascii="Times New Roman" w:hAnsi="Times New Roman" w:eastAsiaTheme="minorEastAsia"/>
                <w:b/>
                <w:bCs/>
                <w:szCs w:val="21"/>
              </w:rPr>
              <w:t>种群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1" w:type="dxa"/>
          </w:tcPr>
          <w:p>
            <w:pPr>
              <w:pStyle w:val="107"/>
              <w:spacing w:line="240" w:lineRule="auto"/>
              <w:ind w:firstLine="0" w:firstLineChars="0"/>
              <w:rPr>
                <w:rFonts w:ascii="Times New Roman" w:hAnsi="Times New Roman" w:eastAsiaTheme="minorEastAsia"/>
                <w:szCs w:val="21"/>
              </w:rPr>
            </w:pPr>
            <w:r>
              <w:rPr>
                <w:rFonts w:ascii="Times New Roman" w:hAnsi="Times New Roman" w:eastAsiaTheme="minorEastAsia"/>
                <w:szCs w:val="21"/>
              </w:rPr>
              <w:t>马麝</w:t>
            </w:r>
            <w:r>
              <w:rPr>
                <w:rFonts w:hint="eastAsia" w:ascii="Times New Roman" w:hAnsi="Times New Roman" w:eastAsiaTheme="minorEastAsia"/>
                <w:szCs w:val="21"/>
              </w:rPr>
              <w:t xml:space="preserve"> </w:t>
            </w:r>
            <w:r>
              <w:rPr>
                <w:rFonts w:ascii="Times New Roman" w:hAnsi="Times New Roman" w:eastAsiaTheme="minorEastAsia"/>
                <w:i/>
                <w:szCs w:val="21"/>
              </w:rPr>
              <w:t>Moschus sifanicus</w:t>
            </w:r>
          </w:p>
        </w:tc>
        <w:tc>
          <w:tcPr>
            <w:tcW w:w="654"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Ⅰ</w:t>
            </w:r>
          </w:p>
        </w:tc>
        <w:tc>
          <w:tcPr>
            <w:tcW w:w="2494" w:type="dxa"/>
          </w:tcPr>
          <w:p>
            <w:pPr>
              <w:pStyle w:val="107"/>
              <w:spacing w:line="240" w:lineRule="auto"/>
              <w:ind w:firstLine="0" w:firstLineChars="0"/>
              <w:rPr>
                <w:rFonts w:ascii="Times New Roman" w:hAnsi="Times New Roman" w:eastAsiaTheme="minorEastAsia"/>
                <w:szCs w:val="21"/>
              </w:rPr>
            </w:pPr>
            <w:r>
              <w:rPr>
                <w:rFonts w:hint="eastAsia" w:ascii="Times New Roman" w:hAnsi="Times New Roman" w:eastAsiaTheme="minorEastAsia"/>
                <w:szCs w:val="21"/>
              </w:rPr>
              <w:t>高山灌丛草甸</w:t>
            </w:r>
          </w:p>
        </w:tc>
        <w:tc>
          <w:tcPr>
            <w:tcW w:w="1346"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3000-4500 m</w:t>
            </w:r>
          </w:p>
        </w:tc>
        <w:tc>
          <w:tcPr>
            <w:tcW w:w="857"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1" w:type="dxa"/>
          </w:tcPr>
          <w:p>
            <w:pPr>
              <w:pStyle w:val="107"/>
              <w:spacing w:line="240" w:lineRule="auto"/>
              <w:ind w:firstLine="0" w:firstLineChars="0"/>
              <w:rPr>
                <w:rFonts w:ascii="Times New Roman" w:hAnsi="Times New Roman" w:eastAsiaTheme="minorEastAsia"/>
                <w:szCs w:val="21"/>
              </w:rPr>
            </w:pPr>
            <w:r>
              <w:rPr>
                <w:rFonts w:ascii="Times New Roman" w:hAnsi="Times New Roman" w:eastAsiaTheme="minorEastAsia"/>
                <w:szCs w:val="21"/>
              </w:rPr>
              <w:t xml:space="preserve">漠猫 </w:t>
            </w:r>
            <w:r>
              <w:rPr>
                <w:rFonts w:ascii="Times New Roman" w:hAnsi="Times New Roman" w:eastAsiaTheme="minorEastAsia"/>
                <w:i/>
                <w:szCs w:val="21"/>
              </w:rPr>
              <w:t>Felis bieti</w:t>
            </w:r>
          </w:p>
        </w:tc>
        <w:tc>
          <w:tcPr>
            <w:tcW w:w="654"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Ⅰ</w:t>
            </w:r>
          </w:p>
        </w:tc>
        <w:tc>
          <w:tcPr>
            <w:tcW w:w="2494" w:type="dxa"/>
          </w:tcPr>
          <w:p>
            <w:pPr>
              <w:pStyle w:val="107"/>
              <w:spacing w:line="240" w:lineRule="auto"/>
              <w:ind w:firstLine="0" w:firstLineChars="0"/>
              <w:rPr>
                <w:rFonts w:ascii="Times New Roman" w:hAnsi="Times New Roman" w:eastAsiaTheme="minorEastAsia"/>
                <w:szCs w:val="21"/>
              </w:rPr>
            </w:pPr>
            <w:r>
              <w:rPr>
                <w:rFonts w:hint="eastAsia" w:ascii="Times New Roman" w:hAnsi="Times New Roman" w:eastAsiaTheme="minorEastAsia"/>
                <w:szCs w:val="21"/>
              </w:rPr>
              <w:t>灌丛、草甸</w:t>
            </w:r>
          </w:p>
        </w:tc>
        <w:tc>
          <w:tcPr>
            <w:tcW w:w="1346"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3000-4500 m</w:t>
            </w:r>
          </w:p>
        </w:tc>
        <w:tc>
          <w:tcPr>
            <w:tcW w:w="857"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1" w:type="dxa"/>
          </w:tcPr>
          <w:p>
            <w:pPr>
              <w:pStyle w:val="107"/>
              <w:spacing w:line="240" w:lineRule="auto"/>
              <w:ind w:firstLine="0" w:firstLineChars="0"/>
              <w:rPr>
                <w:rFonts w:ascii="Times New Roman" w:hAnsi="Times New Roman" w:eastAsiaTheme="minorEastAsia"/>
                <w:szCs w:val="21"/>
              </w:rPr>
            </w:pPr>
            <w:r>
              <w:rPr>
                <w:rFonts w:ascii="Times New Roman" w:hAnsi="Times New Roman" w:eastAsiaTheme="minorEastAsia"/>
                <w:szCs w:val="21"/>
              </w:rPr>
              <w:t xml:space="preserve">兔狲 </w:t>
            </w:r>
            <w:r>
              <w:rPr>
                <w:rFonts w:ascii="Times New Roman" w:hAnsi="Times New Roman" w:eastAsiaTheme="minorEastAsia"/>
                <w:i/>
                <w:szCs w:val="21"/>
              </w:rPr>
              <w:t>Felis manul</w:t>
            </w:r>
          </w:p>
        </w:tc>
        <w:tc>
          <w:tcPr>
            <w:tcW w:w="654"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Ⅱ</w:t>
            </w:r>
          </w:p>
        </w:tc>
        <w:tc>
          <w:tcPr>
            <w:tcW w:w="2494" w:type="dxa"/>
          </w:tcPr>
          <w:p>
            <w:pPr>
              <w:pStyle w:val="107"/>
              <w:spacing w:line="240" w:lineRule="auto"/>
              <w:ind w:firstLine="0" w:firstLineChars="0"/>
              <w:rPr>
                <w:rFonts w:ascii="Times New Roman" w:hAnsi="Times New Roman" w:eastAsiaTheme="minorEastAsia"/>
                <w:szCs w:val="21"/>
              </w:rPr>
            </w:pPr>
            <w:r>
              <w:rPr>
                <w:rFonts w:hint="eastAsia" w:ascii="Times New Roman" w:hAnsi="Times New Roman" w:eastAsiaTheme="minorEastAsia"/>
                <w:szCs w:val="21"/>
              </w:rPr>
              <w:t>灌丛、草甸</w:t>
            </w:r>
          </w:p>
        </w:tc>
        <w:tc>
          <w:tcPr>
            <w:tcW w:w="1346"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3200-4500 m</w:t>
            </w:r>
          </w:p>
        </w:tc>
        <w:tc>
          <w:tcPr>
            <w:tcW w:w="857"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1" w:type="dxa"/>
          </w:tcPr>
          <w:p>
            <w:pPr>
              <w:pStyle w:val="107"/>
              <w:spacing w:line="240" w:lineRule="auto"/>
              <w:ind w:firstLine="0" w:firstLineChars="0"/>
              <w:rPr>
                <w:rFonts w:ascii="Times New Roman" w:hAnsi="Times New Roman" w:eastAsiaTheme="minorEastAsia"/>
                <w:szCs w:val="21"/>
              </w:rPr>
            </w:pPr>
            <w:r>
              <w:rPr>
                <w:rFonts w:ascii="Times New Roman" w:hAnsi="Times New Roman" w:eastAsiaTheme="minorEastAsia"/>
                <w:szCs w:val="21"/>
              </w:rPr>
              <w:t xml:space="preserve">胡兀鹫 </w:t>
            </w:r>
            <w:r>
              <w:rPr>
                <w:rFonts w:ascii="Times New Roman" w:hAnsi="Times New Roman" w:eastAsiaTheme="minorEastAsia"/>
                <w:i/>
                <w:szCs w:val="21"/>
              </w:rPr>
              <w:t>Gypaetus barbatus</w:t>
            </w:r>
          </w:p>
        </w:tc>
        <w:tc>
          <w:tcPr>
            <w:tcW w:w="654"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Ⅰ</w:t>
            </w:r>
          </w:p>
        </w:tc>
        <w:tc>
          <w:tcPr>
            <w:tcW w:w="2494" w:type="dxa"/>
          </w:tcPr>
          <w:p>
            <w:pPr>
              <w:pStyle w:val="107"/>
              <w:spacing w:line="240" w:lineRule="auto"/>
              <w:ind w:firstLine="0" w:firstLineChars="0"/>
              <w:rPr>
                <w:rFonts w:ascii="Times New Roman" w:hAnsi="Times New Roman" w:eastAsiaTheme="minorEastAsia"/>
                <w:szCs w:val="21"/>
              </w:rPr>
            </w:pPr>
            <w:r>
              <w:rPr>
                <w:rFonts w:hint="eastAsia" w:ascii="Times New Roman" w:hAnsi="Times New Roman" w:eastAsiaTheme="minorEastAsia"/>
                <w:szCs w:val="21"/>
              </w:rPr>
              <w:t>湿地、灌丛、草甸、裸岩</w:t>
            </w:r>
          </w:p>
        </w:tc>
        <w:tc>
          <w:tcPr>
            <w:tcW w:w="1346"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3000-5000 m</w:t>
            </w:r>
          </w:p>
        </w:tc>
        <w:tc>
          <w:tcPr>
            <w:tcW w:w="857"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1" w:type="dxa"/>
          </w:tcPr>
          <w:p>
            <w:pPr>
              <w:pStyle w:val="107"/>
              <w:spacing w:line="240" w:lineRule="auto"/>
              <w:ind w:firstLine="0" w:firstLineChars="0"/>
              <w:rPr>
                <w:rFonts w:ascii="Times New Roman" w:hAnsi="Times New Roman" w:eastAsiaTheme="minorEastAsia"/>
                <w:szCs w:val="21"/>
              </w:rPr>
            </w:pPr>
            <w:r>
              <w:rPr>
                <w:rFonts w:ascii="Times New Roman" w:hAnsi="Times New Roman" w:eastAsiaTheme="minorEastAsia"/>
                <w:szCs w:val="21"/>
              </w:rPr>
              <w:t xml:space="preserve">高山兀鹫 </w:t>
            </w:r>
            <w:r>
              <w:rPr>
                <w:rFonts w:ascii="Times New Roman" w:hAnsi="Times New Roman" w:eastAsiaTheme="minorEastAsia"/>
                <w:i/>
                <w:szCs w:val="21"/>
              </w:rPr>
              <w:t>Gyps himalayensis</w:t>
            </w:r>
          </w:p>
        </w:tc>
        <w:tc>
          <w:tcPr>
            <w:tcW w:w="654"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Ⅱ</w:t>
            </w:r>
          </w:p>
        </w:tc>
        <w:tc>
          <w:tcPr>
            <w:tcW w:w="2494" w:type="dxa"/>
          </w:tcPr>
          <w:p>
            <w:pPr>
              <w:pStyle w:val="107"/>
              <w:spacing w:line="240" w:lineRule="auto"/>
              <w:ind w:firstLine="0" w:firstLineChars="0"/>
              <w:rPr>
                <w:rFonts w:ascii="Times New Roman" w:hAnsi="Times New Roman" w:eastAsiaTheme="minorEastAsia"/>
                <w:szCs w:val="21"/>
              </w:rPr>
            </w:pPr>
            <w:r>
              <w:rPr>
                <w:rFonts w:hint="eastAsia" w:ascii="Times New Roman" w:hAnsi="Times New Roman" w:eastAsiaTheme="minorEastAsia"/>
                <w:szCs w:val="21"/>
              </w:rPr>
              <w:t>灌丛、草甸、裸岩</w:t>
            </w:r>
          </w:p>
        </w:tc>
        <w:tc>
          <w:tcPr>
            <w:tcW w:w="1346"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3000-5000 m</w:t>
            </w:r>
          </w:p>
        </w:tc>
        <w:tc>
          <w:tcPr>
            <w:tcW w:w="857"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1" w:type="dxa"/>
          </w:tcPr>
          <w:p>
            <w:pPr>
              <w:pStyle w:val="107"/>
              <w:spacing w:line="240" w:lineRule="auto"/>
              <w:ind w:firstLine="0" w:firstLineChars="0"/>
              <w:rPr>
                <w:rFonts w:ascii="Times New Roman" w:hAnsi="Times New Roman" w:eastAsiaTheme="minorEastAsia"/>
                <w:szCs w:val="21"/>
              </w:rPr>
            </w:pPr>
            <w:r>
              <w:rPr>
                <w:rFonts w:ascii="Times New Roman" w:hAnsi="Times New Roman" w:eastAsiaTheme="minorEastAsia"/>
                <w:szCs w:val="21"/>
              </w:rPr>
              <w:t>秃鹫</w:t>
            </w:r>
            <w:r>
              <w:rPr>
                <w:rFonts w:hint="eastAsia" w:ascii="Times New Roman" w:hAnsi="Times New Roman" w:eastAsiaTheme="minorEastAsia"/>
                <w:szCs w:val="21"/>
              </w:rPr>
              <w:t xml:space="preserve"> </w:t>
            </w:r>
            <w:r>
              <w:rPr>
                <w:rFonts w:ascii="Times New Roman" w:hAnsi="Times New Roman" w:eastAsiaTheme="minorEastAsia"/>
                <w:i/>
                <w:szCs w:val="21"/>
              </w:rPr>
              <w:t>Aegypius monachus</w:t>
            </w:r>
          </w:p>
        </w:tc>
        <w:tc>
          <w:tcPr>
            <w:tcW w:w="654"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Ⅰ</w:t>
            </w:r>
          </w:p>
        </w:tc>
        <w:tc>
          <w:tcPr>
            <w:tcW w:w="2494" w:type="dxa"/>
          </w:tcPr>
          <w:p>
            <w:pPr>
              <w:pStyle w:val="107"/>
              <w:spacing w:line="240" w:lineRule="auto"/>
              <w:ind w:firstLine="0" w:firstLineChars="0"/>
              <w:rPr>
                <w:rFonts w:ascii="Times New Roman" w:hAnsi="Times New Roman" w:eastAsiaTheme="minorEastAsia"/>
                <w:szCs w:val="21"/>
              </w:rPr>
            </w:pPr>
            <w:r>
              <w:rPr>
                <w:rFonts w:hint="eastAsia" w:ascii="Times New Roman" w:hAnsi="Times New Roman" w:eastAsiaTheme="minorEastAsia"/>
                <w:szCs w:val="21"/>
              </w:rPr>
              <w:t>灌丛、草甸、裸岩</w:t>
            </w:r>
          </w:p>
        </w:tc>
        <w:tc>
          <w:tcPr>
            <w:tcW w:w="1346"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3000-5000 m</w:t>
            </w:r>
          </w:p>
        </w:tc>
        <w:tc>
          <w:tcPr>
            <w:tcW w:w="857"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1" w:type="dxa"/>
          </w:tcPr>
          <w:p>
            <w:pPr>
              <w:pStyle w:val="107"/>
              <w:spacing w:line="240" w:lineRule="auto"/>
              <w:ind w:firstLine="0" w:firstLineChars="0"/>
              <w:rPr>
                <w:rFonts w:ascii="Times New Roman" w:hAnsi="Times New Roman" w:eastAsiaTheme="minorEastAsia"/>
                <w:szCs w:val="21"/>
              </w:rPr>
            </w:pPr>
            <w:r>
              <w:rPr>
                <w:rFonts w:ascii="Times New Roman" w:hAnsi="Times New Roman" w:eastAsiaTheme="minorEastAsia"/>
                <w:szCs w:val="21"/>
              </w:rPr>
              <w:t xml:space="preserve">大鵟 </w:t>
            </w:r>
            <w:r>
              <w:rPr>
                <w:rFonts w:ascii="Times New Roman" w:hAnsi="Times New Roman" w:eastAsiaTheme="minorEastAsia"/>
                <w:i/>
                <w:szCs w:val="21"/>
              </w:rPr>
              <w:t>Buteo hemilasius</w:t>
            </w:r>
          </w:p>
        </w:tc>
        <w:tc>
          <w:tcPr>
            <w:tcW w:w="654"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Ⅱ</w:t>
            </w:r>
          </w:p>
        </w:tc>
        <w:tc>
          <w:tcPr>
            <w:tcW w:w="2494" w:type="dxa"/>
          </w:tcPr>
          <w:p>
            <w:pPr>
              <w:pStyle w:val="107"/>
              <w:spacing w:line="240" w:lineRule="auto"/>
              <w:ind w:firstLine="0" w:firstLineChars="0"/>
              <w:rPr>
                <w:rFonts w:ascii="Times New Roman" w:hAnsi="Times New Roman" w:eastAsiaTheme="minorEastAsia"/>
                <w:szCs w:val="21"/>
              </w:rPr>
            </w:pPr>
            <w:r>
              <w:rPr>
                <w:rFonts w:hint="eastAsia" w:ascii="Times New Roman" w:hAnsi="Times New Roman" w:eastAsiaTheme="minorEastAsia"/>
                <w:szCs w:val="21"/>
              </w:rPr>
              <w:t>针叶林、灌丛草甸、草甸</w:t>
            </w:r>
          </w:p>
        </w:tc>
        <w:tc>
          <w:tcPr>
            <w:tcW w:w="1346" w:type="dxa"/>
          </w:tcPr>
          <w:p>
            <w:pPr>
              <w:pStyle w:val="107"/>
              <w:spacing w:line="240" w:lineRule="auto"/>
              <w:ind w:firstLine="0" w:firstLineChars="0"/>
              <w:jc w:val="center"/>
              <w:rPr>
                <w:rFonts w:ascii="Times New Roman" w:hAnsi="Times New Roman" w:eastAsiaTheme="minorEastAsia"/>
                <w:szCs w:val="21"/>
              </w:rPr>
            </w:pPr>
            <w:r>
              <w:rPr>
                <w:rFonts w:hint="eastAsia" w:ascii="Times New Roman" w:hAnsi="Times New Roman" w:eastAsiaTheme="minorEastAsia"/>
                <w:szCs w:val="21"/>
              </w:rPr>
              <w:t>3</w:t>
            </w:r>
            <w:r>
              <w:rPr>
                <w:rFonts w:ascii="Times New Roman" w:hAnsi="Times New Roman" w:eastAsiaTheme="minorEastAsia"/>
                <w:szCs w:val="21"/>
              </w:rPr>
              <w:t>300-4500 m</w:t>
            </w:r>
          </w:p>
        </w:tc>
        <w:tc>
          <w:tcPr>
            <w:tcW w:w="857"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51" w:type="dxa"/>
          </w:tcPr>
          <w:p>
            <w:pPr>
              <w:pStyle w:val="107"/>
              <w:spacing w:line="240" w:lineRule="auto"/>
              <w:ind w:firstLine="0" w:firstLineChars="0"/>
              <w:rPr>
                <w:rFonts w:ascii="Times New Roman" w:hAnsi="Times New Roman" w:eastAsiaTheme="minorEastAsia"/>
                <w:szCs w:val="21"/>
              </w:rPr>
            </w:pPr>
            <w:r>
              <w:rPr>
                <w:rFonts w:ascii="Times New Roman" w:hAnsi="Times New Roman" w:eastAsiaTheme="minorEastAsia"/>
                <w:szCs w:val="21"/>
              </w:rPr>
              <w:t xml:space="preserve">纵纹腹小鴞 </w:t>
            </w:r>
            <w:r>
              <w:rPr>
                <w:rFonts w:ascii="Times New Roman" w:hAnsi="Times New Roman" w:eastAsiaTheme="minorEastAsia"/>
                <w:i/>
                <w:szCs w:val="21"/>
              </w:rPr>
              <w:t>Athene noctua</w:t>
            </w:r>
          </w:p>
        </w:tc>
        <w:tc>
          <w:tcPr>
            <w:tcW w:w="654"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Ⅱ</w:t>
            </w:r>
          </w:p>
        </w:tc>
        <w:tc>
          <w:tcPr>
            <w:tcW w:w="2494" w:type="dxa"/>
          </w:tcPr>
          <w:p>
            <w:pPr>
              <w:pStyle w:val="107"/>
              <w:spacing w:line="240" w:lineRule="auto"/>
              <w:ind w:firstLine="0" w:firstLineChars="0"/>
              <w:rPr>
                <w:rFonts w:ascii="Times New Roman" w:hAnsi="Times New Roman" w:eastAsiaTheme="minorEastAsia"/>
                <w:szCs w:val="21"/>
              </w:rPr>
            </w:pPr>
            <w:r>
              <w:rPr>
                <w:rFonts w:hint="eastAsia" w:ascii="Times New Roman" w:hAnsi="Times New Roman" w:eastAsiaTheme="minorEastAsia"/>
                <w:szCs w:val="21"/>
              </w:rPr>
              <w:t>灌丛草甸、草甸</w:t>
            </w:r>
          </w:p>
        </w:tc>
        <w:tc>
          <w:tcPr>
            <w:tcW w:w="1346"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3000-4000 m</w:t>
            </w:r>
          </w:p>
        </w:tc>
        <w:tc>
          <w:tcPr>
            <w:tcW w:w="857"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1" w:type="dxa"/>
          </w:tcPr>
          <w:p>
            <w:pPr>
              <w:pStyle w:val="107"/>
              <w:spacing w:line="240" w:lineRule="auto"/>
              <w:ind w:firstLine="0" w:firstLineChars="0"/>
              <w:rPr>
                <w:rFonts w:hint="eastAsia" w:ascii="Times New Roman" w:hAnsi="Times New Roman" w:eastAsiaTheme="minorEastAsia"/>
                <w:szCs w:val="21"/>
                <w:lang w:val="en-US" w:eastAsia="zh-CN"/>
              </w:rPr>
            </w:pPr>
            <w:r>
              <w:rPr>
                <w:rFonts w:hint="eastAsia" w:ascii="Times New Roman" w:hAnsi="Times New Roman" w:eastAsiaTheme="minorEastAsia"/>
                <w:szCs w:val="21"/>
              </w:rPr>
              <w:t>西藏山溪鲵</w:t>
            </w:r>
            <w:r>
              <w:rPr>
                <w:rFonts w:hint="eastAsia" w:ascii="Times New Roman" w:eastAsiaTheme="minorEastAsia"/>
                <w:szCs w:val="21"/>
                <w:lang w:val="en-US" w:eastAsia="zh-CN"/>
              </w:rPr>
              <w:t xml:space="preserve"> </w:t>
            </w:r>
            <w:r>
              <w:rPr>
                <w:rFonts w:hint="eastAsia" w:ascii="Times New Roman" w:hAnsi="Times New Roman" w:eastAsiaTheme="minorEastAsia"/>
                <w:i/>
                <w:szCs w:val="21"/>
                <w:lang w:val="en-US" w:eastAsia="zh-CN"/>
              </w:rPr>
              <w:t>Batrachuperus tibetanus</w:t>
            </w:r>
          </w:p>
        </w:tc>
        <w:tc>
          <w:tcPr>
            <w:tcW w:w="654"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Ⅱ</w:t>
            </w:r>
          </w:p>
        </w:tc>
        <w:tc>
          <w:tcPr>
            <w:tcW w:w="2494" w:type="dxa"/>
          </w:tcPr>
          <w:p>
            <w:pPr>
              <w:pStyle w:val="107"/>
              <w:spacing w:line="240" w:lineRule="auto"/>
              <w:ind w:firstLine="0" w:firstLineChars="0"/>
              <w:rPr>
                <w:rFonts w:hint="eastAsia" w:ascii="Times New Roman" w:hAnsi="Times New Roman" w:eastAsiaTheme="minorEastAsia"/>
                <w:szCs w:val="21"/>
                <w:lang w:eastAsia="zh-CN"/>
              </w:rPr>
            </w:pPr>
            <w:r>
              <w:rPr>
                <w:rFonts w:hint="eastAsia" w:ascii="Times New Roman" w:hAnsi="Times New Roman" w:eastAsiaTheme="minorEastAsia"/>
                <w:szCs w:val="21"/>
              </w:rPr>
              <w:t>流溪</w:t>
            </w:r>
            <w:r>
              <w:rPr>
                <w:rFonts w:hint="eastAsia" w:ascii="Times New Roman" w:eastAsiaTheme="minorEastAsia"/>
                <w:szCs w:val="21"/>
                <w:lang w:eastAsia="zh-CN"/>
              </w:rPr>
              <w:t>、泉水石滩</w:t>
            </w:r>
          </w:p>
        </w:tc>
        <w:tc>
          <w:tcPr>
            <w:tcW w:w="1346" w:type="dxa"/>
          </w:tcPr>
          <w:p>
            <w:pPr>
              <w:pStyle w:val="107"/>
              <w:spacing w:line="240" w:lineRule="auto"/>
              <w:ind w:firstLine="0" w:firstLineChars="0"/>
              <w:jc w:val="center"/>
              <w:rPr>
                <w:rFonts w:hint="default" w:ascii="Times New Roman" w:hAnsi="Times New Roman" w:eastAsiaTheme="minorEastAsia"/>
                <w:szCs w:val="21"/>
                <w:lang w:val="en-US" w:eastAsia="zh-CN"/>
              </w:rPr>
            </w:pPr>
            <w:r>
              <w:rPr>
                <w:rFonts w:hint="eastAsia" w:ascii="Times New Roman" w:eastAsiaTheme="minorEastAsia"/>
                <w:szCs w:val="21"/>
                <w:lang w:val="en-US" w:eastAsia="zh-CN"/>
              </w:rPr>
              <w:t>3000-4300 m</w:t>
            </w:r>
          </w:p>
        </w:tc>
        <w:tc>
          <w:tcPr>
            <w:tcW w:w="857"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1" w:type="dxa"/>
          </w:tcPr>
          <w:p>
            <w:pPr>
              <w:pStyle w:val="107"/>
              <w:spacing w:line="240" w:lineRule="auto"/>
              <w:ind w:firstLine="0" w:firstLineChars="0"/>
              <w:rPr>
                <w:rFonts w:hint="eastAsia" w:ascii="Times New Roman" w:hAnsi="Times New Roman" w:eastAsiaTheme="minorEastAsia"/>
                <w:szCs w:val="21"/>
                <w:lang w:val="en-US" w:eastAsia="zh-CN"/>
              </w:rPr>
            </w:pPr>
            <w:r>
              <w:rPr>
                <w:rFonts w:hint="eastAsia" w:ascii="Times New Roman" w:hAnsi="Times New Roman" w:eastAsiaTheme="minorEastAsia"/>
                <w:szCs w:val="21"/>
              </w:rPr>
              <w:t>狼</w:t>
            </w:r>
            <w:r>
              <w:rPr>
                <w:rFonts w:hint="eastAsia" w:ascii="Times New Roman" w:hAnsi="Times New Roman" w:eastAsiaTheme="minorEastAsia"/>
                <w:szCs w:val="21"/>
                <w:lang w:val="en-US" w:eastAsia="zh-CN"/>
              </w:rPr>
              <w:t xml:space="preserve"> </w:t>
            </w:r>
            <w:r>
              <w:rPr>
                <w:rFonts w:hint="eastAsia" w:ascii="Times New Roman" w:hAnsi="Times New Roman" w:eastAsiaTheme="minorEastAsia"/>
                <w:i/>
                <w:szCs w:val="21"/>
                <w:lang w:val="en-US" w:eastAsia="zh-CN"/>
              </w:rPr>
              <w:t>Canis lupus</w:t>
            </w:r>
          </w:p>
        </w:tc>
        <w:tc>
          <w:tcPr>
            <w:tcW w:w="654" w:type="dxa"/>
            <w:vAlign w:val="top"/>
          </w:tcPr>
          <w:p>
            <w:pPr>
              <w:pStyle w:val="107"/>
              <w:spacing w:line="240" w:lineRule="auto"/>
              <w:ind w:firstLine="0" w:firstLineChars="0"/>
              <w:jc w:val="center"/>
              <w:rPr>
                <w:rFonts w:ascii="Times New Roman" w:hAnsi="Times New Roman" w:cs="Times New Roman" w:eastAsiaTheme="minorEastAsia"/>
                <w:kern w:val="0"/>
                <w:sz w:val="21"/>
                <w:szCs w:val="21"/>
                <w:lang w:val="en-US" w:eastAsia="zh-CN" w:bidi="ar-SA"/>
              </w:rPr>
            </w:pPr>
            <w:r>
              <w:rPr>
                <w:rFonts w:ascii="Times New Roman" w:hAnsi="Times New Roman" w:eastAsiaTheme="minorEastAsia"/>
                <w:szCs w:val="21"/>
              </w:rPr>
              <w:t>Ⅱ</w:t>
            </w:r>
          </w:p>
        </w:tc>
        <w:tc>
          <w:tcPr>
            <w:tcW w:w="2494" w:type="dxa"/>
          </w:tcPr>
          <w:p>
            <w:pPr>
              <w:pStyle w:val="107"/>
              <w:spacing w:line="240" w:lineRule="auto"/>
              <w:ind w:firstLine="0" w:firstLineChars="0"/>
              <w:rPr>
                <w:rFonts w:hint="eastAsia" w:ascii="Times New Roman" w:hAnsi="Times New Roman" w:eastAsiaTheme="minorEastAsia"/>
                <w:szCs w:val="21"/>
              </w:rPr>
            </w:pPr>
            <w:r>
              <w:rPr>
                <w:rFonts w:hint="eastAsia" w:ascii="Times New Roman" w:hAnsi="Times New Roman" w:eastAsiaTheme="minorEastAsia"/>
                <w:szCs w:val="21"/>
              </w:rPr>
              <w:t>苔原、草原、森林、荒漠</w:t>
            </w:r>
          </w:p>
        </w:tc>
        <w:tc>
          <w:tcPr>
            <w:tcW w:w="1346" w:type="dxa"/>
          </w:tcPr>
          <w:p>
            <w:pPr>
              <w:pStyle w:val="107"/>
              <w:spacing w:line="240" w:lineRule="auto"/>
              <w:ind w:firstLine="0" w:firstLineChars="0"/>
              <w:jc w:val="center"/>
              <w:rPr>
                <w:rFonts w:hint="default" w:ascii="Times New Roman" w:eastAsiaTheme="minorEastAsia"/>
                <w:szCs w:val="21"/>
                <w:lang w:val="en-US" w:eastAsia="zh-CN"/>
              </w:rPr>
            </w:pPr>
            <w:r>
              <w:rPr>
                <w:rFonts w:hint="eastAsia" w:ascii="Times New Roman" w:eastAsiaTheme="minorEastAsia"/>
                <w:szCs w:val="21"/>
                <w:lang w:val="en-US" w:eastAsia="zh-CN"/>
              </w:rPr>
              <w:t>3000-4500 m</w:t>
            </w:r>
          </w:p>
        </w:tc>
        <w:tc>
          <w:tcPr>
            <w:tcW w:w="857"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1" w:type="dxa"/>
          </w:tcPr>
          <w:p>
            <w:pPr>
              <w:pStyle w:val="107"/>
              <w:spacing w:line="240" w:lineRule="auto"/>
              <w:ind w:firstLine="0" w:firstLineChars="0"/>
              <w:rPr>
                <w:rFonts w:hint="eastAsia" w:ascii="Times New Roman" w:hAnsi="Times New Roman" w:eastAsiaTheme="minorEastAsia"/>
                <w:szCs w:val="21"/>
                <w:lang w:val="en-US" w:eastAsia="zh-CN"/>
              </w:rPr>
            </w:pPr>
            <w:r>
              <w:rPr>
                <w:rFonts w:hint="eastAsia" w:ascii="Times New Roman" w:hAnsi="Times New Roman" w:eastAsiaTheme="minorEastAsia"/>
                <w:szCs w:val="21"/>
              </w:rPr>
              <w:t>藏狐</w:t>
            </w:r>
            <w:r>
              <w:rPr>
                <w:rFonts w:hint="eastAsia" w:ascii="Times New Roman" w:eastAsiaTheme="minorEastAsia"/>
                <w:szCs w:val="21"/>
                <w:lang w:val="en-US" w:eastAsia="zh-CN"/>
              </w:rPr>
              <w:t xml:space="preserve"> </w:t>
            </w:r>
            <w:r>
              <w:rPr>
                <w:rFonts w:hint="eastAsia" w:ascii="Times New Roman" w:hAnsi="Times New Roman" w:eastAsiaTheme="minorEastAsia"/>
                <w:i/>
                <w:szCs w:val="21"/>
                <w:lang w:val="en-US" w:eastAsia="zh-CN"/>
              </w:rPr>
              <w:t>Vulpes ferrilata</w:t>
            </w:r>
          </w:p>
        </w:tc>
        <w:tc>
          <w:tcPr>
            <w:tcW w:w="654" w:type="dxa"/>
            <w:vAlign w:val="top"/>
          </w:tcPr>
          <w:p>
            <w:pPr>
              <w:pStyle w:val="107"/>
              <w:spacing w:line="240" w:lineRule="auto"/>
              <w:ind w:firstLine="0" w:firstLineChars="0"/>
              <w:jc w:val="center"/>
              <w:rPr>
                <w:rFonts w:ascii="Times New Roman" w:hAnsi="Times New Roman" w:cs="Times New Roman" w:eastAsiaTheme="minorEastAsia"/>
                <w:kern w:val="0"/>
                <w:sz w:val="21"/>
                <w:szCs w:val="21"/>
                <w:lang w:val="en-US" w:eastAsia="zh-CN" w:bidi="ar-SA"/>
              </w:rPr>
            </w:pPr>
            <w:r>
              <w:rPr>
                <w:rFonts w:ascii="Times New Roman" w:hAnsi="Times New Roman" w:eastAsiaTheme="minorEastAsia"/>
                <w:szCs w:val="21"/>
              </w:rPr>
              <w:t>Ⅱ</w:t>
            </w:r>
          </w:p>
        </w:tc>
        <w:tc>
          <w:tcPr>
            <w:tcW w:w="2494" w:type="dxa"/>
          </w:tcPr>
          <w:p>
            <w:pPr>
              <w:pStyle w:val="107"/>
              <w:spacing w:line="240" w:lineRule="auto"/>
              <w:ind w:firstLine="0" w:firstLineChars="0"/>
              <w:rPr>
                <w:rFonts w:hint="eastAsia" w:ascii="Times New Roman" w:hAnsi="Times New Roman" w:eastAsiaTheme="minorEastAsia"/>
                <w:szCs w:val="21"/>
              </w:rPr>
            </w:pPr>
            <w:r>
              <w:rPr>
                <w:rFonts w:hint="eastAsia" w:ascii="Times New Roman" w:hAnsi="Times New Roman" w:eastAsiaTheme="minorEastAsia"/>
                <w:szCs w:val="21"/>
              </w:rPr>
              <w:t>草甸、高山草原、荒漠草原和山地</w:t>
            </w:r>
          </w:p>
        </w:tc>
        <w:tc>
          <w:tcPr>
            <w:tcW w:w="1346" w:type="dxa"/>
          </w:tcPr>
          <w:p>
            <w:pPr>
              <w:pStyle w:val="107"/>
              <w:spacing w:line="240" w:lineRule="auto"/>
              <w:ind w:firstLine="0" w:firstLineChars="0"/>
              <w:jc w:val="center"/>
              <w:rPr>
                <w:rFonts w:hint="default" w:ascii="Times New Roman" w:eastAsiaTheme="minorEastAsia"/>
                <w:szCs w:val="21"/>
                <w:lang w:val="en-US" w:eastAsia="zh-CN"/>
              </w:rPr>
            </w:pPr>
            <w:r>
              <w:rPr>
                <w:rFonts w:hint="eastAsia" w:ascii="Times New Roman" w:eastAsiaTheme="minorEastAsia"/>
                <w:szCs w:val="21"/>
                <w:lang w:val="en-US" w:eastAsia="zh-CN"/>
              </w:rPr>
              <w:t>3000-5000 m</w:t>
            </w:r>
          </w:p>
        </w:tc>
        <w:tc>
          <w:tcPr>
            <w:tcW w:w="857"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1" w:type="dxa"/>
          </w:tcPr>
          <w:p>
            <w:pPr>
              <w:pStyle w:val="107"/>
              <w:spacing w:line="240" w:lineRule="auto"/>
              <w:ind w:firstLine="0" w:firstLineChars="0"/>
              <w:rPr>
                <w:rFonts w:hint="eastAsia" w:ascii="Times New Roman" w:hAnsi="Times New Roman" w:eastAsiaTheme="minorEastAsia"/>
                <w:szCs w:val="21"/>
                <w:lang w:val="en-US" w:eastAsia="zh-CN"/>
              </w:rPr>
            </w:pPr>
            <w:r>
              <w:rPr>
                <w:rFonts w:hint="eastAsia" w:ascii="Times New Roman" w:hAnsi="Times New Roman" w:eastAsiaTheme="minorEastAsia"/>
                <w:szCs w:val="21"/>
              </w:rPr>
              <w:t>橙翅噪鹛</w:t>
            </w:r>
            <w:r>
              <w:rPr>
                <w:rFonts w:hint="eastAsia" w:ascii="Times New Roman" w:eastAsiaTheme="minorEastAsia"/>
                <w:szCs w:val="21"/>
                <w:lang w:val="en-US" w:eastAsia="zh-CN"/>
              </w:rPr>
              <w:t xml:space="preserve"> </w:t>
            </w:r>
            <w:r>
              <w:rPr>
                <w:rFonts w:hint="eastAsia" w:ascii="Times New Roman" w:hAnsi="Times New Roman" w:eastAsiaTheme="minorEastAsia"/>
                <w:i/>
                <w:szCs w:val="21"/>
                <w:lang w:val="en-US" w:eastAsia="zh-CN"/>
              </w:rPr>
              <w:t>Garrulax elliotii</w:t>
            </w:r>
          </w:p>
        </w:tc>
        <w:tc>
          <w:tcPr>
            <w:tcW w:w="654" w:type="dxa"/>
            <w:vAlign w:val="top"/>
          </w:tcPr>
          <w:p>
            <w:pPr>
              <w:pStyle w:val="107"/>
              <w:spacing w:line="240" w:lineRule="auto"/>
              <w:ind w:firstLine="0" w:firstLineChars="0"/>
              <w:jc w:val="center"/>
              <w:rPr>
                <w:rFonts w:ascii="Times New Roman" w:hAnsi="Times New Roman" w:cs="Times New Roman" w:eastAsiaTheme="minorEastAsia"/>
                <w:kern w:val="0"/>
                <w:sz w:val="21"/>
                <w:szCs w:val="21"/>
                <w:lang w:val="en-US" w:eastAsia="zh-CN" w:bidi="ar-SA"/>
              </w:rPr>
            </w:pPr>
            <w:r>
              <w:rPr>
                <w:rFonts w:ascii="Times New Roman" w:hAnsi="Times New Roman" w:eastAsiaTheme="minorEastAsia"/>
                <w:szCs w:val="21"/>
              </w:rPr>
              <w:t>Ⅱ</w:t>
            </w:r>
          </w:p>
        </w:tc>
        <w:tc>
          <w:tcPr>
            <w:tcW w:w="2494" w:type="dxa"/>
          </w:tcPr>
          <w:p>
            <w:pPr>
              <w:pStyle w:val="107"/>
              <w:spacing w:line="240" w:lineRule="auto"/>
              <w:ind w:firstLine="0" w:firstLineChars="0"/>
              <w:rPr>
                <w:rFonts w:hint="eastAsia" w:ascii="Times New Roman" w:hAnsi="Times New Roman" w:eastAsiaTheme="minorEastAsia"/>
                <w:szCs w:val="21"/>
                <w:lang w:eastAsia="zh-CN"/>
              </w:rPr>
            </w:pPr>
            <w:r>
              <w:rPr>
                <w:rFonts w:hint="eastAsia" w:ascii="Times New Roman" w:hAnsi="Times New Roman" w:eastAsiaTheme="minorEastAsia"/>
                <w:szCs w:val="21"/>
              </w:rPr>
              <w:t>高原森林与灌丛</w:t>
            </w:r>
            <w:r>
              <w:rPr>
                <w:rFonts w:hint="eastAsia" w:ascii="Times New Roman" w:eastAsiaTheme="minorEastAsia"/>
                <w:szCs w:val="21"/>
                <w:lang w:eastAsia="zh-CN"/>
              </w:rPr>
              <w:t>、山地灌丛</w:t>
            </w:r>
          </w:p>
        </w:tc>
        <w:tc>
          <w:tcPr>
            <w:tcW w:w="1346" w:type="dxa"/>
          </w:tcPr>
          <w:p>
            <w:pPr>
              <w:pStyle w:val="107"/>
              <w:spacing w:line="240" w:lineRule="auto"/>
              <w:ind w:firstLine="0" w:firstLineChars="0"/>
              <w:jc w:val="center"/>
              <w:rPr>
                <w:rFonts w:hint="default" w:ascii="Times New Roman" w:eastAsiaTheme="minorEastAsia"/>
                <w:szCs w:val="21"/>
                <w:lang w:val="en-US" w:eastAsia="zh-CN"/>
              </w:rPr>
            </w:pPr>
            <w:r>
              <w:rPr>
                <w:rFonts w:hint="eastAsia" w:ascii="Times New Roman" w:eastAsiaTheme="minorEastAsia"/>
                <w:szCs w:val="21"/>
                <w:lang w:val="en-US" w:eastAsia="zh-CN"/>
              </w:rPr>
              <w:t>3000-4200 m</w:t>
            </w:r>
          </w:p>
        </w:tc>
        <w:tc>
          <w:tcPr>
            <w:tcW w:w="857"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1" w:type="dxa"/>
          </w:tcPr>
          <w:p>
            <w:pPr>
              <w:pStyle w:val="107"/>
              <w:spacing w:line="240" w:lineRule="auto"/>
              <w:ind w:firstLine="0" w:firstLineChars="0"/>
              <w:rPr>
                <w:rFonts w:hint="eastAsia" w:ascii="Times New Roman" w:hAnsi="Times New Roman" w:eastAsiaTheme="minorEastAsia"/>
                <w:szCs w:val="21"/>
                <w:lang w:val="en-US" w:eastAsia="zh-CN"/>
              </w:rPr>
            </w:pPr>
            <w:r>
              <w:rPr>
                <w:rFonts w:hint="eastAsia" w:ascii="Times New Roman" w:hAnsi="Times New Roman" w:eastAsiaTheme="minorEastAsia"/>
                <w:szCs w:val="21"/>
              </w:rPr>
              <w:t>藏雪鸡</w:t>
            </w:r>
            <w:r>
              <w:rPr>
                <w:rFonts w:hint="eastAsia" w:ascii="Times New Roman" w:eastAsiaTheme="minorEastAsia"/>
                <w:szCs w:val="21"/>
                <w:lang w:val="en-US" w:eastAsia="zh-CN"/>
              </w:rPr>
              <w:t xml:space="preserve"> </w:t>
            </w:r>
            <w:r>
              <w:rPr>
                <w:rFonts w:hint="eastAsia" w:ascii="Times New Roman" w:hAnsi="Times New Roman" w:eastAsiaTheme="minorEastAsia"/>
                <w:i/>
                <w:szCs w:val="21"/>
                <w:lang w:val="en-US" w:eastAsia="zh-CN"/>
              </w:rPr>
              <w:t>Tetraogallus tibetanus</w:t>
            </w:r>
          </w:p>
        </w:tc>
        <w:tc>
          <w:tcPr>
            <w:tcW w:w="654" w:type="dxa"/>
            <w:vAlign w:val="top"/>
          </w:tcPr>
          <w:p>
            <w:pPr>
              <w:pStyle w:val="107"/>
              <w:spacing w:line="240" w:lineRule="auto"/>
              <w:ind w:firstLine="0" w:firstLineChars="0"/>
              <w:jc w:val="center"/>
              <w:rPr>
                <w:rFonts w:ascii="Times New Roman" w:hAnsi="Times New Roman" w:cs="Times New Roman" w:eastAsiaTheme="minorEastAsia"/>
                <w:kern w:val="0"/>
                <w:sz w:val="21"/>
                <w:szCs w:val="21"/>
                <w:lang w:val="en-US" w:eastAsia="zh-CN" w:bidi="ar-SA"/>
              </w:rPr>
            </w:pPr>
            <w:r>
              <w:rPr>
                <w:rFonts w:ascii="Times New Roman" w:hAnsi="Times New Roman" w:eastAsiaTheme="minorEastAsia"/>
                <w:szCs w:val="21"/>
              </w:rPr>
              <w:t>Ⅱ</w:t>
            </w:r>
          </w:p>
        </w:tc>
        <w:tc>
          <w:tcPr>
            <w:tcW w:w="2494" w:type="dxa"/>
          </w:tcPr>
          <w:p>
            <w:pPr>
              <w:pStyle w:val="107"/>
              <w:spacing w:line="240" w:lineRule="auto"/>
              <w:ind w:firstLine="0" w:firstLineChars="0"/>
              <w:rPr>
                <w:rFonts w:hint="eastAsia" w:ascii="Times New Roman" w:hAnsi="Times New Roman" w:eastAsiaTheme="minorEastAsia"/>
                <w:szCs w:val="21"/>
              </w:rPr>
            </w:pPr>
            <w:r>
              <w:rPr>
                <w:rFonts w:hint="eastAsia" w:ascii="Times New Roman" w:hAnsi="Times New Roman" w:eastAsiaTheme="minorEastAsia"/>
                <w:szCs w:val="21"/>
              </w:rPr>
              <w:t>高山灌丛、苔原</w:t>
            </w:r>
            <w:r>
              <w:rPr>
                <w:rFonts w:hint="eastAsia" w:ascii="Times New Roman" w:eastAsiaTheme="minorEastAsia"/>
                <w:szCs w:val="21"/>
                <w:lang w:eastAsia="zh-CN"/>
              </w:rPr>
              <w:t>、</w:t>
            </w:r>
            <w:r>
              <w:rPr>
                <w:rFonts w:hint="eastAsia" w:ascii="Times New Roman" w:hAnsi="Times New Roman" w:eastAsiaTheme="minorEastAsia"/>
                <w:szCs w:val="21"/>
              </w:rPr>
              <w:t>裸岩</w:t>
            </w:r>
          </w:p>
        </w:tc>
        <w:tc>
          <w:tcPr>
            <w:tcW w:w="1346" w:type="dxa"/>
          </w:tcPr>
          <w:p>
            <w:pPr>
              <w:pStyle w:val="107"/>
              <w:spacing w:line="240" w:lineRule="auto"/>
              <w:ind w:firstLine="0" w:firstLineChars="0"/>
              <w:jc w:val="center"/>
              <w:rPr>
                <w:rFonts w:hint="default" w:ascii="Times New Roman" w:eastAsiaTheme="minorEastAsia"/>
                <w:szCs w:val="21"/>
                <w:lang w:val="en-US" w:eastAsia="zh-CN"/>
              </w:rPr>
            </w:pPr>
            <w:r>
              <w:rPr>
                <w:rFonts w:hint="eastAsia" w:ascii="Times New Roman" w:eastAsiaTheme="minorEastAsia"/>
                <w:szCs w:val="21"/>
                <w:lang w:val="en-US" w:eastAsia="zh-CN"/>
              </w:rPr>
              <w:t>3000-4500 m</w:t>
            </w:r>
          </w:p>
        </w:tc>
        <w:tc>
          <w:tcPr>
            <w:tcW w:w="857"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1" w:type="dxa"/>
          </w:tcPr>
          <w:p>
            <w:pPr>
              <w:pStyle w:val="107"/>
              <w:spacing w:line="240" w:lineRule="auto"/>
              <w:ind w:firstLine="0" w:firstLineChars="0"/>
              <w:rPr>
                <w:rFonts w:hint="eastAsia" w:ascii="Times New Roman" w:hAnsi="Times New Roman" w:eastAsiaTheme="minorEastAsia"/>
                <w:i/>
                <w:szCs w:val="21"/>
                <w:lang w:val="en-US" w:eastAsia="zh-CN"/>
              </w:rPr>
            </w:pPr>
            <w:r>
              <w:rPr>
                <w:rFonts w:hint="eastAsia" w:ascii="Times New Roman" w:hAnsi="Times New Roman" w:eastAsiaTheme="minorEastAsia"/>
                <w:i w:val="0"/>
                <w:iCs/>
                <w:szCs w:val="21"/>
                <w:lang w:val="en-US" w:eastAsia="zh-CN"/>
              </w:rPr>
              <w:t>蓝马鸡</w:t>
            </w:r>
            <w:r>
              <w:rPr>
                <w:rFonts w:hint="eastAsia" w:ascii="Times New Roman" w:hAnsi="Times New Roman" w:eastAsiaTheme="minorEastAsia"/>
                <w:i/>
                <w:szCs w:val="21"/>
                <w:lang w:val="en-US" w:eastAsia="zh-CN"/>
              </w:rPr>
              <w:t xml:space="preserve"> Crossoptilon auritum</w:t>
            </w:r>
          </w:p>
        </w:tc>
        <w:tc>
          <w:tcPr>
            <w:tcW w:w="654" w:type="dxa"/>
            <w:vAlign w:val="top"/>
          </w:tcPr>
          <w:p>
            <w:pPr>
              <w:pStyle w:val="107"/>
              <w:spacing w:line="240" w:lineRule="auto"/>
              <w:ind w:firstLine="0" w:firstLineChars="0"/>
              <w:jc w:val="center"/>
              <w:rPr>
                <w:rFonts w:hint="eastAsia" w:ascii="Times New Roman" w:hAnsi="Times New Roman" w:cs="Times New Roman" w:eastAsiaTheme="minorEastAsia"/>
                <w:kern w:val="0"/>
                <w:sz w:val="21"/>
                <w:szCs w:val="21"/>
                <w:lang w:val="en-US" w:eastAsia="zh-CN" w:bidi="ar-SA"/>
              </w:rPr>
            </w:pPr>
            <w:r>
              <w:rPr>
                <w:rFonts w:ascii="Times New Roman" w:hAnsi="Times New Roman" w:eastAsiaTheme="minorEastAsia"/>
                <w:szCs w:val="21"/>
              </w:rPr>
              <w:t>Ⅱ</w:t>
            </w:r>
          </w:p>
        </w:tc>
        <w:tc>
          <w:tcPr>
            <w:tcW w:w="2494" w:type="dxa"/>
          </w:tcPr>
          <w:p>
            <w:pPr>
              <w:pStyle w:val="107"/>
              <w:spacing w:line="240" w:lineRule="auto"/>
              <w:ind w:firstLine="0" w:firstLineChars="0"/>
              <w:rPr>
                <w:rFonts w:hint="eastAsia" w:ascii="Times New Roman" w:hAnsi="Times New Roman" w:eastAsiaTheme="minorEastAsia"/>
                <w:szCs w:val="21"/>
              </w:rPr>
            </w:pPr>
            <w:r>
              <w:rPr>
                <w:rFonts w:hint="eastAsia" w:ascii="Times New Roman" w:hAnsi="Times New Roman" w:eastAsiaTheme="minorEastAsia"/>
                <w:szCs w:val="21"/>
              </w:rPr>
              <w:t>高山森林、灌丛和苔原草地</w:t>
            </w:r>
          </w:p>
        </w:tc>
        <w:tc>
          <w:tcPr>
            <w:tcW w:w="1346" w:type="dxa"/>
          </w:tcPr>
          <w:p>
            <w:pPr>
              <w:pStyle w:val="107"/>
              <w:spacing w:line="240" w:lineRule="auto"/>
              <w:ind w:firstLine="0" w:firstLineChars="0"/>
              <w:jc w:val="center"/>
              <w:rPr>
                <w:rFonts w:hint="default" w:ascii="Times New Roman" w:eastAsiaTheme="minorEastAsia"/>
                <w:szCs w:val="21"/>
                <w:lang w:val="en-US" w:eastAsia="zh-CN"/>
              </w:rPr>
            </w:pPr>
            <w:r>
              <w:rPr>
                <w:rFonts w:hint="eastAsia" w:ascii="Times New Roman" w:eastAsiaTheme="minorEastAsia"/>
                <w:szCs w:val="21"/>
                <w:lang w:val="en-US" w:eastAsia="zh-CN"/>
              </w:rPr>
              <w:t>3000-4000 m</w:t>
            </w:r>
          </w:p>
        </w:tc>
        <w:tc>
          <w:tcPr>
            <w:tcW w:w="857" w:type="dxa"/>
          </w:tcPr>
          <w:p>
            <w:pPr>
              <w:pStyle w:val="107"/>
              <w:spacing w:line="240" w:lineRule="auto"/>
              <w:ind w:firstLine="0" w:firstLineChars="0"/>
              <w:jc w:val="center"/>
              <w:rPr>
                <w:rFonts w:ascii="Times New Roman" w:hAnsi="Times New Roman" w:eastAsiaTheme="minorEastAsia"/>
                <w:szCs w:val="21"/>
              </w:rPr>
            </w:pPr>
            <w:r>
              <w:rPr>
                <w:rFonts w:ascii="Times New Roman" w:hAnsi="Times New Roman" w:eastAsiaTheme="minorEastAsia"/>
                <w:szCs w:val="21"/>
              </w:rPr>
              <w:t>＋</w:t>
            </w:r>
          </w:p>
        </w:tc>
      </w:tr>
    </w:tbl>
    <w:p>
      <w:pPr>
        <w:pStyle w:val="107"/>
        <w:ind w:firstLine="480"/>
        <w:rPr>
          <w:rFonts w:ascii="Times New Roman"/>
          <w:sz w:val="24"/>
          <w:szCs w:val="24"/>
        </w:rPr>
      </w:pPr>
      <w:r>
        <w:rPr>
          <w:rFonts w:hint="eastAsia" w:ascii="Times New Roman"/>
          <w:sz w:val="24"/>
          <w:szCs w:val="24"/>
        </w:rPr>
        <w:t>调查统计，湿地公园范围内有典型的湿地野生动物11目16科31种，占该区目前已知有分布的脊椎动物总种数的28.44%。包括鱼类全部1目1科2种，两栖类全部2目4科5种，鸟类7目10科23种，兽类1目1科1种。</w:t>
      </w:r>
    </w:p>
    <w:p>
      <w:pPr>
        <w:pStyle w:val="107"/>
        <w:ind w:firstLine="480"/>
        <w:rPr>
          <w:rFonts w:ascii="Times New Roman"/>
          <w:sz w:val="24"/>
          <w:szCs w:val="24"/>
        </w:rPr>
      </w:pPr>
      <w:r>
        <w:rPr>
          <w:rFonts w:hint="eastAsia" w:ascii="Times New Roman"/>
          <w:sz w:val="24"/>
          <w:szCs w:val="24"/>
        </w:rPr>
        <w:t>调查发现，湿地公园河流生境中的脊椎动物优势种类包括东方高原鳅（</w:t>
      </w:r>
      <w:r>
        <w:rPr>
          <w:rFonts w:hint="eastAsia" w:ascii="Times New Roman"/>
          <w:i/>
          <w:sz w:val="24"/>
          <w:szCs w:val="24"/>
        </w:rPr>
        <w:t>Triplophysa orientalis</w:t>
      </w:r>
      <w:r>
        <w:rPr>
          <w:rFonts w:hint="eastAsia" w:ascii="Times New Roman"/>
          <w:sz w:val="24"/>
          <w:szCs w:val="24"/>
        </w:rPr>
        <w:t>）、大渡裸裂尻（</w:t>
      </w:r>
      <w:r>
        <w:rPr>
          <w:rFonts w:hint="eastAsia" w:ascii="Times New Roman"/>
          <w:i/>
          <w:sz w:val="24"/>
          <w:szCs w:val="24"/>
        </w:rPr>
        <w:t>Schizopygopsis malacanthus</w:t>
      </w:r>
      <w:r>
        <w:rPr>
          <w:rFonts w:hint="eastAsia" w:ascii="Times New Roman"/>
          <w:sz w:val="24"/>
          <w:szCs w:val="24"/>
        </w:rPr>
        <w:t>）、西藏山溪鲵（</w:t>
      </w:r>
      <w:r>
        <w:rPr>
          <w:rFonts w:hint="eastAsia" w:ascii="Times New Roman"/>
          <w:i/>
          <w:sz w:val="24"/>
          <w:szCs w:val="24"/>
        </w:rPr>
        <w:t>Batrachuperus tibetanus</w:t>
      </w:r>
      <w:r>
        <w:rPr>
          <w:rFonts w:hint="eastAsia" w:ascii="Times New Roman"/>
          <w:sz w:val="24"/>
          <w:szCs w:val="24"/>
        </w:rPr>
        <w:t>）、西藏齿突蟾（Scutiger boulengeri）、绿头鸭（</w:t>
      </w:r>
      <w:r>
        <w:rPr>
          <w:rFonts w:hint="eastAsia" w:ascii="Times New Roman"/>
          <w:i/>
          <w:sz w:val="24"/>
          <w:szCs w:val="24"/>
        </w:rPr>
        <w:t>Anas platyrhynchos</w:t>
      </w:r>
      <w:r>
        <w:rPr>
          <w:rFonts w:hint="eastAsia" w:ascii="Times New Roman"/>
          <w:sz w:val="24"/>
          <w:szCs w:val="24"/>
        </w:rPr>
        <w:t>）、普通秋莎鸭（</w:t>
      </w:r>
      <w:r>
        <w:rPr>
          <w:rFonts w:hint="eastAsia" w:ascii="Times New Roman"/>
          <w:i/>
          <w:sz w:val="24"/>
          <w:szCs w:val="24"/>
        </w:rPr>
        <w:t>Mergus merganser</w:t>
      </w:r>
      <w:r>
        <w:rPr>
          <w:rFonts w:hint="eastAsia" w:ascii="Times New Roman"/>
          <w:sz w:val="24"/>
          <w:szCs w:val="24"/>
        </w:rPr>
        <w:t>）、普通燕鸥（</w:t>
      </w:r>
      <w:r>
        <w:rPr>
          <w:rFonts w:hint="eastAsia" w:ascii="Times New Roman"/>
          <w:i/>
          <w:sz w:val="24"/>
          <w:szCs w:val="24"/>
        </w:rPr>
        <w:t>Sterna hirundo</w:t>
      </w:r>
      <w:r>
        <w:rPr>
          <w:rFonts w:hint="eastAsia" w:ascii="Times New Roman"/>
          <w:sz w:val="24"/>
          <w:szCs w:val="24"/>
        </w:rPr>
        <w:t>）、河乌（</w:t>
      </w:r>
      <w:r>
        <w:rPr>
          <w:rFonts w:hint="eastAsia" w:ascii="Times New Roman"/>
          <w:i/>
          <w:sz w:val="24"/>
          <w:szCs w:val="24"/>
        </w:rPr>
        <w:t>Cinclus cinclus</w:t>
      </w:r>
      <w:r>
        <w:rPr>
          <w:rFonts w:hint="eastAsia" w:ascii="Times New Roman"/>
          <w:sz w:val="24"/>
          <w:szCs w:val="24"/>
        </w:rPr>
        <w:t>）、红尾水鸲（</w:t>
      </w:r>
      <w:r>
        <w:rPr>
          <w:rFonts w:hint="eastAsia" w:ascii="Times New Roman"/>
          <w:i/>
          <w:sz w:val="24"/>
          <w:szCs w:val="24"/>
        </w:rPr>
        <w:t>Phoenicurus fuliginosus</w:t>
      </w:r>
      <w:r>
        <w:rPr>
          <w:rFonts w:hint="eastAsia" w:ascii="Times New Roman"/>
          <w:sz w:val="24"/>
          <w:szCs w:val="24"/>
        </w:rPr>
        <w:t>）、白顶溪鸲（</w:t>
      </w:r>
      <w:r>
        <w:rPr>
          <w:rFonts w:hint="eastAsia" w:ascii="Times New Roman"/>
          <w:i/>
          <w:sz w:val="24"/>
          <w:szCs w:val="24"/>
        </w:rPr>
        <w:t>Chaimarrornis leucocephalus</w:t>
      </w:r>
      <w:r>
        <w:rPr>
          <w:rFonts w:hint="eastAsia" w:ascii="Times New Roman"/>
          <w:sz w:val="24"/>
          <w:szCs w:val="24"/>
        </w:rPr>
        <w:t>）等。沼泽湿地生境中的优势种类有东方高原鳅</w:t>
      </w:r>
      <w:r>
        <w:rPr>
          <w:rFonts w:hint="eastAsia" w:ascii="Times New Roman"/>
          <w:sz w:val="24"/>
          <w:szCs w:val="24"/>
          <w:lang w:eastAsia="zh-CN"/>
        </w:rPr>
        <w:t>（</w:t>
      </w:r>
      <w:r>
        <w:rPr>
          <w:rFonts w:hint="eastAsia" w:ascii="Times New Roman"/>
          <w:i/>
          <w:sz w:val="24"/>
          <w:szCs w:val="24"/>
          <w:lang w:eastAsia="zh-CN"/>
        </w:rPr>
        <w:t>Triplophysa orientalis</w:t>
      </w:r>
      <w:r>
        <w:rPr>
          <w:rFonts w:hint="eastAsia" w:ascii="Times New Roman"/>
          <w:sz w:val="24"/>
          <w:szCs w:val="24"/>
          <w:lang w:eastAsia="zh-CN"/>
        </w:rPr>
        <w:t>）</w:t>
      </w:r>
      <w:r>
        <w:rPr>
          <w:rFonts w:hint="eastAsia" w:ascii="Times New Roman"/>
          <w:sz w:val="24"/>
          <w:szCs w:val="24"/>
        </w:rPr>
        <w:t>、岷山蟾蜍（</w:t>
      </w:r>
      <w:r>
        <w:rPr>
          <w:rFonts w:hint="eastAsia" w:ascii="Times New Roman"/>
          <w:i/>
          <w:sz w:val="24"/>
          <w:szCs w:val="24"/>
        </w:rPr>
        <w:t>Bufo minshannicus</w:t>
      </w:r>
      <w:r>
        <w:rPr>
          <w:rFonts w:hint="eastAsia" w:ascii="Times New Roman"/>
          <w:sz w:val="24"/>
          <w:szCs w:val="24"/>
        </w:rPr>
        <w:t>）、高原林蛙（</w:t>
      </w:r>
      <w:r>
        <w:rPr>
          <w:rFonts w:hint="eastAsia" w:ascii="Times New Roman"/>
          <w:i/>
          <w:sz w:val="24"/>
          <w:szCs w:val="24"/>
        </w:rPr>
        <w:t>Rana kukunoris</w:t>
      </w:r>
      <w:r>
        <w:rPr>
          <w:rFonts w:hint="eastAsia" w:ascii="Times New Roman"/>
          <w:sz w:val="24"/>
          <w:szCs w:val="24"/>
        </w:rPr>
        <w:t>）、倭蛙（</w:t>
      </w:r>
      <w:r>
        <w:rPr>
          <w:rFonts w:hint="eastAsia" w:ascii="Times New Roman"/>
          <w:i/>
          <w:sz w:val="24"/>
          <w:szCs w:val="24"/>
        </w:rPr>
        <w:t>Nanorana pleskei</w:t>
      </w:r>
      <w:r>
        <w:rPr>
          <w:rFonts w:hint="eastAsia" w:ascii="Times New Roman"/>
          <w:sz w:val="24"/>
          <w:szCs w:val="24"/>
        </w:rPr>
        <w:t>）、红脚鹬（</w:t>
      </w:r>
      <w:r>
        <w:rPr>
          <w:rFonts w:hint="eastAsia" w:ascii="Times New Roman"/>
          <w:i/>
          <w:sz w:val="24"/>
          <w:szCs w:val="24"/>
        </w:rPr>
        <w:t>Tringa totanus</w:t>
      </w:r>
      <w:r>
        <w:rPr>
          <w:rFonts w:hint="eastAsia" w:ascii="Times New Roman"/>
          <w:sz w:val="24"/>
          <w:szCs w:val="24"/>
        </w:rPr>
        <w:t>）、鹮嘴鹬（</w:t>
      </w:r>
      <w:r>
        <w:rPr>
          <w:rFonts w:hint="eastAsia" w:ascii="Times New Roman"/>
          <w:i/>
          <w:sz w:val="24"/>
          <w:szCs w:val="24"/>
        </w:rPr>
        <w:t>Ibidorhyncha struthersii</w:t>
      </w:r>
      <w:r>
        <w:rPr>
          <w:rFonts w:hint="eastAsia" w:ascii="Times New Roman"/>
          <w:sz w:val="24"/>
          <w:szCs w:val="24"/>
        </w:rPr>
        <w:t>）、金眶</w:t>
      </w:r>
      <w:r>
        <w:rPr>
          <w:rFonts w:hint="eastAsia" w:cs="Times New Roman"/>
          <w:color w:val="000000"/>
          <w:kern w:val="0"/>
          <w:sz w:val="22"/>
          <w:highlight w:val="none"/>
        </w:rPr>
        <w:t>鸻</w:t>
      </w:r>
      <w:r>
        <w:rPr>
          <w:rFonts w:hint="eastAsia" w:ascii="Times New Roman"/>
          <w:sz w:val="24"/>
          <w:szCs w:val="24"/>
        </w:rPr>
        <w:t>（</w:t>
      </w:r>
      <w:r>
        <w:rPr>
          <w:rFonts w:hint="eastAsia" w:ascii="Times New Roman"/>
          <w:i/>
          <w:sz w:val="24"/>
          <w:szCs w:val="24"/>
        </w:rPr>
        <w:t>Charadrius dubius</w:t>
      </w:r>
      <w:r>
        <w:rPr>
          <w:rFonts w:hint="eastAsia" w:ascii="Times New Roman"/>
          <w:sz w:val="24"/>
          <w:szCs w:val="24"/>
        </w:rPr>
        <w:t>）、白</w:t>
      </w:r>
      <w:r>
        <w:rPr>
          <w:rFonts w:hint="eastAsia" w:ascii="Times New Roman"/>
          <w:sz w:val="24"/>
          <w:szCs w:val="24"/>
          <w:lang w:val="en-US" w:eastAsia="zh-CN"/>
        </w:rPr>
        <w:t>鹡</w:t>
      </w:r>
      <w:r>
        <w:rPr>
          <w:rFonts w:hint="eastAsia" w:ascii="Times New Roman"/>
          <w:sz w:val="24"/>
          <w:szCs w:val="24"/>
        </w:rPr>
        <w:t>鸰（</w:t>
      </w:r>
      <w:r>
        <w:rPr>
          <w:rFonts w:hint="eastAsia" w:ascii="Times New Roman"/>
          <w:i/>
          <w:sz w:val="24"/>
          <w:szCs w:val="24"/>
        </w:rPr>
        <w:t>Motacilla alba</w:t>
      </w:r>
      <w:r>
        <w:rPr>
          <w:rFonts w:hint="eastAsia" w:ascii="Times New Roman"/>
          <w:sz w:val="24"/>
          <w:szCs w:val="24"/>
        </w:rPr>
        <w:t>）、黄头</w:t>
      </w:r>
      <w:r>
        <w:rPr>
          <w:rFonts w:hint="eastAsia" w:ascii="Times New Roman"/>
          <w:sz w:val="24"/>
          <w:szCs w:val="24"/>
          <w:lang w:val="en-US" w:eastAsia="zh-CN"/>
        </w:rPr>
        <w:t>鹡</w:t>
      </w:r>
      <w:r>
        <w:rPr>
          <w:rFonts w:hint="eastAsia" w:ascii="Times New Roman"/>
          <w:sz w:val="24"/>
          <w:szCs w:val="24"/>
        </w:rPr>
        <w:t>鸰（</w:t>
      </w:r>
      <w:r>
        <w:rPr>
          <w:rFonts w:hint="eastAsia" w:ascii="Times New Roman"/>
          <w:i/>
          <w:sz w:val="24"/>
          <w:szCs w:val="24"/>
        </w:rPr>
        <w:t>Motacilla citreola</w:t>
      </w:r>
      <w:r>
        <w:rPr>
          <w:rFonts w:hint="eastAsia" w:ascii="Times New Roman"/>
          <w:sz w:val="24"/>
          <w:szCs w:val="24"/>
        </w:rPr>
        <w:t>）、白顶溪鸲</w:t>
      </w:r>
      <w:r>
        <w:rPr>
          <w:rFonts w:hint="eastAsia" w:ascii="Times New Roman"/>
          <w:sz w:val="24"/>
          <w:szCs w:val="24"/>
          <w:lang w:eastAsia="zh-CN"/>
        </w:rPr>
        <w:t>（Chaimarrornis leucocephalus）</w:t>
      </w:r>
      <w:r>
        <w:rPr>
          <w:rFonts w:hint="eastAsia" w:ascii="Times New Roman"/>
          <w:sz w:val="24"/>
          <w:szCs w:val="24"/>
        </w:rPr>
        <w:t>和红尾水鸲</w:t>
      </w:r>
      <w:r>
        <w:rPr>
          <w:rFonts w:hint="eastAsia" w:ascii="Times New Roman"/>
          <w:sz w:val="24"/>
          <w:szCs w:val="24"/>
          <w:lang w:eastAsia="zh-CN"/>
        </w:rPr>
        <w:t>（</w:t>
      </w:r>
      <w:r>
        <w:rPr>
          <w:rFonts w:hint="eastAsia" w:ascii="Times New Roman"/>
          <w:i/>
          <w:iCs/>
          <w:sz w:val="24"/>
          <w:szCs w:val="24"/>
          <w:lang w:eastAsia="zh-CN"/>
        </w:rPr>
        <w:t>Rhyacornis fuliginosus</w:t>
      </w:r>
      <w:r>
        <w:rPr>
          <w:rFonts w:hint="eastAsia" w:ascii="Times New Roman"/>
          <w:sz w:val="24"/>
          <w:szCs w:val="24"/>
          <w:lang w:eastAsia="zh-CN"/>
        </w:rPr>
        <w:t>）</w:t>
      </w:r>
      <w:r>
        <w:rPr>
          <w:rFonts w:hint="eastAsia" w:ascii="Times New Roman"/>
          <w:sz w:val="24"/>
          <w:szCs w:val="24"/>
        </w:rPr>
        <w:t>等。</w:t>
      </w:r>
    </w:p>
    <w:p>
      <w:pPr>
        <w:pStyle w:val="3"/>
        <w:numPr>
          <w:ilvl w:val="1"/>
          <w:numId w:val="0"/>
        </w:numPr>
        <w:ind w:leftChars="0"/>
        <w:rPr>
          <w:rFonts w:cs="Times New Roman"/>
        </w:rPr>
      </w:pPr>
      <w:bookmarkStart w:id="16" w:name="_Toc31478"/>
      <w:r>
        <w:rPr>
          <w:rFonts w:hint="eastAsia" w:cs="Times New Roman"/>
          <w:lang w:val="en-US" w:eastAsia="zh-CN"/>
        </w:rPr>
        <w:t xml:space="preserve">3.4 </w:t>
      </w:r>
      <w:r>
        <w:rPr>
          <w:rFonts w:cs="Times New Roman"/>
        </w:rPr>
        <w:t>湿地景观及文化资源</w:t>
      </w:r>
      <w:bookmarkEnd w:id="16"/>
    </w:p>
    <w:p>
      <w:pPr>
        <w:pStyle w:val="5"/>
        <w:numPr>
          <w:ilvl w:val="2"/>
          <w:numId w:val="0"/>
        </w:numPr>
        <w:ind w:leftChars="0"/>
        <w:rPr>
          <w:rFonts w:cs="Times New Roman"/>
        </w:rPr>
      </w:pPr>
      <w:r>
        <w:rPr>
          <w:rFonts w:hint="eastAsia" w:cs="Times New Roman"/>
          <w:lang w:val="en-US" w:eastAsia="zh-CN"/>
        </w:rPr>
        <w:t xml:space="preserve">3.4.1 </w:t>
      </w:r>
      <w:r>
        <w:rPr>
          <w:rFonts w:hint="eastAsia" w:cs="Times New Roman"/>
        </w:rPr>
        <w:t>湿地</w:t>
      </w:r>
      <w:r>
        <w:rPr>
          <w:rFonts w:cs="Times New Roman"/>
        </w:rPr>
        <w:t>景观资源</w:t>
      </w:r>
    </w:p>
    <w:p>
      <w:pPr>
        <w:ind w:firstLine="480"/>
        <w:rPr>
          <w:rFonts w:cs="Times New Roman"/>
        </w:rPr>
      </w:pPr>
      <w:r>
        <w:rPr>
          <w:rFonts w:hint="eastAsia" w:cs="Times New Roman"/>
        </w:rPr>
        <w:t>湿地公园范围内湿地景观资源丰富，从大的类型上可以划分为河流湿地景观、沼泽湿地景观、河谷冰川漂砾景观、沿河两岸的高山杜鹃灌丛景观、高山草甸景观，以及以东方高原鳅、高原林蛙、普通秋沙鸭、普通燕鸥、白</w:t>
      </w:r>
      <w:r>
        <w:rPr>
          <w:rFonts w:hint="eastAsia" w:ascii="Times New Roman"/>
          <w:sz w:val="24"/>
          <w:szCs w:val="24"/>
          <w:lang w:val="en-US" w:eastAsia="zh-CN"/>
        </w:rPr>
        <w:t>鹡</w:t>
      </w:r>
      <w:r>
        <w:rPr>
          <w:rFonts w:hint="eastAsia" w:cs="Times New Roman"/>
        </w:rPr>
        <w:t>鸰和红尾水鸲等为代表的湿地动物景观六大类。</w:t>
      </w:r>
    </w:p>
    <w:p>
      <w:pPr>
        <w:ind w:firstLine="480"/>
        <w:rPr>
          <w:rFonts w:cs="Times New Roman"/>
        </w:rPr>
      </w:pPr>
      <w:r>
        <w:rPr>
          <w:rFonts w:hint="eastAsia" w:cs="Times New Roman"/>
        </w:rPr>
        <w:t>湿地公园外围的莲宝叶则山峰雄奇诱人，变幻丰富，远距离观望，有的象石笋直刺苍穹，有的象出浴的少女，婀娜多姿，有的象沉思的学者，若语若思，有的象童子拜佛，有的象十二生肖</w:t>
      </w:r>
      <w:r>
        <w:rPr>
          <w:rFonts w:hint="eastAsia" w:cs="Times New Roman"/>
          <w:lang w:val="en-US" w:eastAsia="zh-CN"/>
        </w:rPr>
        <w:t>，</w:t>
      </w:r>
      <w:r>
        <w:rPr>
          <w:rFonts w:hint="eastAsia" w:cs="Times New Roman"/>
        </w:rPr>
        <w:t>形象逼真，可观赏性极强。</w:t>
      </w:r>
    </w:p>
    <w:p>
      <w:pPr>
        <w:pStyle w:val="5"/>
        <w:numPr>
          <w:ilvl w:val="2"/>
          <w:numId w:val="0"/>
        </w:numPr>
        <w:ind w:leftChars="0"/>
      </w:pPr>
      <w:r>
        <w:rPr>
          <w:rFonts w:hint="eastAsia"/>
          <w:lang w:val="en-US" w:eastAsia="zh-CN"/>
        </w:rPr>
        <w:t xml:space="preserve">3.4.2 </w:t>
      </w:r>
      <w:r>
        <w:rPr>
          <w:rFonts w:hint="eastAsia"/>
        </w:rPr>
        <w:t>文化资源</w:t>
      </w:r>
    </w:p>
    <w:p>
      <w:pPr>
        <w:ind w:firstLine="480"/>
        <w:rPr>
          <w:rFonts w:cs="Times New Roman"/>
        </w:rPr>
      </w:pPr>
      <w:r>
        <w:rPr>
          <w:rFonts w:hint="eastAsia" w:cs="Times New Roman"/>
        </w:rPr>
        <w:t>湿地公园所在区域历史悠久，远古时代即有人类生息，唐朝时期属松州管辖，元朝在此实行土司制度，明朝时由松潘卫管辖，清朝时隶属于松潘厅，民国时属松潘县，1954年由阿坝县管理。公元八世纪中叶，藏传佛教传入该区，经过当地群众长期传承发展，形成了当地独具特色的安多藏传佛教文化。</w:t>
      </w:r>
    </w:p>
    <w:p>
      <w:pPr>
        <w:ind w:firstLine="480"/>
        <w:rPr>
          <w:rFonts w:cs="Times New Roman"/>
        </w:rPr>
      </w:pPr>
      <w:r>
        <w:rPr>
          <w:rFonts w:hint="eastAsia" w:cs="Times New Roman"/>
        </w:rPr>
        <w:t>湿地公园所在的莲宝叶则山是川青草原上矗立起的一座庞大的花岗岩体的“石头城堡”，是安多藏区的三大神山之一，是藏区人们朝拜的圣地，同时，由于藏族民族英雄格萨尔王的广泛传说而使该地区被赋予了浓厚的人文色彩。莲宝叶则山是格萨尔王东征的神秘古战场，里面装满了无数格萨尔王及其爱妃、众将征战和爱情生活的生动历史故事，莲宝叶则山的每条河流、山梁、奇峰、异石、湖泊与格萨尔王都有着不解的历史渊源和故事；同时它也是一座雄伟博大的石头城堡，它是由众多饱含藏族历史掌故、英雄史诗与雄奇山峰、险秀奇石堆砌出来的奇峰异石与藏族古代历史神话传说的神圣神山“石头城堡”。</w:t>
      </w:r>
    </w:p>
    <w:p>
      <w:pPr>
        <w:pStyle w:val="3"/>
        <w:numPr>
          <w:ilvl w:val="1"/>
          <w:numId w:val="0"/>
        </w:numPr>
        <w:ind w:leftChars="0"/>
        <w:rPr>
          <w:rFonts w:cs="Times New Roman"/>
        </w:rPr>
      </w:pPr>
      <w:bookmarkStart w:id="17" w:name="_Toc9270"/>
      <w:r>
        <w:rPr>
          <w:rFonts w:hint="eastAsia" w:cs="Times New Roman"/>
          <w:lang w:val="en-US" w:eastAsia="zh-CN"/>
        </w:rPr>
        <w:t xml:space="preserve">3.5 </w:t>
      </w:r>
      <w:r>
        <w:rPr>
          <w:rFonts w:cs="Times New Roman"/>
        </w:rPr>
        <w:t>湿地</w:t>
      </w:r>
      <w:r>
        <w:rPr>
          <w:rFonts w:hint="eastAsia" w:cs="Times New Roman"/>
        </w:rPr>
        <w:t>生态</w:t>
      </w:r>
      <w:r>
        <w:rPr>
          <w:rFonts w:cs="Times New Roman"/>
        </w:rPr>
        <w:t>系统评价</w:t>
      </w:r>
      <w:bookmarkEnd w:id="17"/>
    </w:p>
    <w:p>
      <w:pPr>
        <w:ind w:firstLine="480"/>
      </w:pPr>
      <w:r>
        <w:rPr>
          <w:rFonts w:hint="eastAsia"/>
        </w:rPr>
        <w:t>湿地，与海洋、森林并称为全球三大生态体系。湿地具有强大的生态净化作用，被喻为“地球之肾”，是独特的多功能生态系统，在净化水源、保持水土等发面发挥着巨大的作用。湿地公园地处大渡河上游，是大渡河上游的重要水源地，对稳定大渡河水源和保持水质具有重要的作用。</w:t>
      </w:r>
    </w:p>
    <w:p>
      <w:pPr>
        <w:ind w:firstLine="480"/>
      </w:pPr>
      <w:r>
        <w:rPr>
          <w:rFonts w:hint="eastAsia"/>
        </w:rPr>
        <w:t>湿地公园内无固定居民，仅有少量牧民（规划区内有7户牧民）季节性的在此放牧，不存在过牧现象。区内生态环境，尤其是湿地生态环境保存完好，湿地不但面积大，而且类型多样，包括典型的河流湿地、沼泽湿地、湖泊湿地和沼泽化草甸等各种湿地类型，其湿地类型几乎囊括了我国青藏高原高寒湿地的所有典型类型，是不可多得的宝贵自然资源。这里还是众多湿地野生动物的乐园，初步统计，这里生活的湿地动物多达31种之多，而且，诸如东方高原鳅、大渡裸裂尻和高原林蛙等湿地动物种群数量还特别巨大，在平均海拔达到4000m的区域，有如此多的湿地野生动物，不能不说是一个奇迹。</w:t>
      </w:r>
    </w:p>
    <w:p>
      <w:pPr>
        <w:pStyle w:val="3"/>
        <w:numPr>
          <w:ilvl w:val="1"/>
          <w:numId w:val="0"/>
        </w:numPr>
        <w:ind w:leftChars="0"/>
        <w:rPr>
          <w:rFonts w:cs="Times New Roman"/>
        </w:rPr>
      </w:pPr>
      <w:bookmarkStart w:id="18" w:name="_Toc18510"/>
      <w:r>
        <w:rPr>
          <w:rFonts w:hint="eastAsia" w:cs="Times New Roman"/>
          <w:lang w:val="en-US" w:eastAsia="zh-CN"/>
        </w:rPr>
        <w:t xml:space="preserve">3.6 </w:t>
      </w:r>
      <w:r>
        <w:rPr>
          <w:rFonts w:cs="Times New Roman"/>
        </w:rPr>
        <w:t>功能分区</w:t>
      </w:r>
      <w:bookmarkEnd w:id="18"/>
    </w:p>
    <w:p>
      <w:pPr>
        <w:ind w:firstLine="480"/>
        <w:rPr>
          <w:szCs w:val="24"/>
        </w:rPr>
      </w:pPr>
      <w:r>
        <w:rPr>
          <w:rFonts w:hint="eastAsia"/>
          <w:szCs w:val="24"/>
        </w:rPr>
        <w:t>根据湿地公园保护和利用协调发展的需要，再结合当地自然景观和人文景观的地理位置和分布特色，将湿地公园划分为湿地保育区、湿地科普宣教区、湖泊湿地恢复区、综合利用区和管理服务区5大功能区。</w:t>
      </w:r>
    </w:p>
    <w:p>
      <w:pPr>
        <w:pStyle w:val="5"/>
        <w:numPr>
          <w:ilvl w:val="2"/>
          <w:numId w:val="0"/>
        </w:numPr>
        <w:ind w:leftChars="0"/>
      </w:pPr>
      <w:r>
        <w:rPr>
          <w:rFonts w:hint="eastAsia"/>
          <w:lang w:val="en-US" w:eastAsia="zh-CN"/>
        </w:rPr>
        <w:t xml:space="preserve">3.6.1 </w:t>
      </w:r>
      <w:r>
        <w:rPr>
          <w:rFonts w:hint="eastAsia"/>
        </w:rPr>
        <w:t>湿地保育区</w:t>
      </w:r>
    </w:p>
    <w:p>
      <w:pPr>
        <w:ind w:firstLine="480"/>
        <w:rPr>
          <w:szCs w:val="24"/>
        </w:rPr>
      </w:pPr>
      <w:r>
        <w:rPr>
          <w:rFonts w:hint="eastAsia"/>
          <w:szCs w:val="24"/>
        </w:rPr>
        <w:t>湿地保育区由三部分构成：1）两路口以上的达尔中沟规划范围；2）一碗水以上的恩章莫沟规划范围；3）两岔沟以上的扎嘎尔沟规划范围。生态保育区面积为2649.04</w:t>
      </w:r>
      <w:r>
        <w:rPr>
          <w:szCs w:val="24"/>
        </w:rPr>
        <w:t xml:space="preserve"> </w:t>
      </w:r>
      <w:r>
        <w:rPr>
          <w:rFonts w:hint="eastAsia"/>
          <w:szCs w:val="24"/>
        </w:rPr>
        <w:t>hm</w:t>
      </w:r>
      <w:r>
        <w:rPr>
          <w:rFonts w:hint="eastAsia"/>
          <w:szCs w:val="24"/>
          <w:vertAlign w:val="superscript"/>
        </w:rPr>
        <w:t>2</w:t>
      </w:r>
      <w:r>
        <w:rPr>
          <w:rFonts w:hint="eastAsia"/>
          <w:szCs w:val="24"/>
        </w:rPr>
        <w:t>，约占湿地公园总面积的72.21%。</w:t>
      </w:r>
    </w:p>
    <w:p>
      <w:pPr>
        <w:ind w:firstLine="480"/>
        <w:rPr>
          <w:szCs w:val="24"/>
        </w:rPr>
      </w:pPr>
      <w:r>
        <w:rPr>
          <w:rFonts w:hint="eastAsia"/>
          <w:szCs w:val="24"/>
        </w:rPr>
        <w:t>上述3个区域完好地保存了湿地公园有分布的各类湿地类型，包括典型的高寒湖泊湿地、蛇曲发育的河流湿地、各类典型的沼泽湿地以及沼泽化草甸湿地等类型。此外，该区域大面积的高山灌丛和高山草甸也保存完好，部分区域还生长着一些云杉林或柏木林，整体植被覆盖度很高，对从源头地区防治水土流失的发生提供了良好的植被条件。从区位上，湿地生态保育区处于整个湿地公园的上游地区，这里生态环境的好坏直接影响整个湿地公园的生态健康与否，其生态功能不言而喻。同时，该区也是普通秋沙鸭、赤麻鸭、绿头鸭、红脚鹬、高原林蛙、倭蛙、东方高原鳅等湿地动物分布最为集中的区域。综上，故将上述区域规划为湿地保育区。</w:t>
      </w:r>
    </w:p>
    <w:p>
      <w:pPr>
        <w:pStyle w:val="5"/>
        <w:numPr>
          <w:ilvl w:val="2"/>
          <w:numId w:val="0"/>
        </w:numPr>
        <w:ind w:leftChars="0"/>
      </w:pPr>
      <w:r>
        <w:rPr>
          <w:rFonts w:hint="eastAsia"/>
          <w:lang w:val="en-US" w:eastAsia="zh-CN"/>
        </w:rPr>
        <w:t xml:space="preserve">3.6.2 </w:t>
      </w:r>
      <w:r>
        <w:rPr>
          <w:rFonts w:hint="eastAsia"/>
        </w:rPr>
        <w:t>湿地科普宣教区</w:t>
      </w:r>
    </w:p>
    <w:p>
      <w:pPr>
        <w:ind w:firstLine="480"/>
        <w:rPr>
          <w:rFonts w:cs="Times New Roman"/>
        </w:rPr>
      </w:pPr>
      <w:r>
        <w:rPr>
          <w:rFonts w:hint="eastAsia" w:cs="Times New Roman"/>
        </w:rPr>
        <w:t>包括章木沟中部的一碗水至水洼坪之间的规划范围，以及扎嘎尔沟的巨石坪至两岔沟间的河谷部分。一碗水至水洼坪之间保存了大面积的、典型的灌木木本沼泽湿地，该区的河流蜿蜒曲折，河水清澈，水流平稳，无论在沼泽地中还是在河流中，东方高原鳅种群数量都非常巨大，尤其是在大河与小支流交汇的区域，由小支流带来充足的养料，经常可见大群的东方高原鳅在此集中觅食。该区域是对游客进行湿地生态教育的理想场所，故规划为湿地科普宣教区。巨石坪至两岔沟间的河谷部分湿地类型多样，包括蜿蜒曲折的河流湿地、典型的灌木木本沼泽湿地和典型的低位发育的草本沼泽湿地，尤其是该区域分布的草本沼泽湿地，不但非常典型，而且具有极高的观赏价值。此外，据阿坝县旅游局提供的资料显示，该区以前曾是两个面积较大的天然湖泊，但随着岁月的流逝，两个湖泊下游坝体逐渐被侵蚀并最终溃坝，湖泊消失，调查确证，这两个湖泊的坝体边缘目前仍清晰可见，规划对最上游的一个湖泊进行人工恢复（以现有残存坝体为基础，恢复成坝长约200</w:t>
      </w:r>
      <w:r>
        <w:rPr>
          <w:rFonts w:cs="Times New Roman"/>
        </w:rPr>
        <w:t xml:space="preserve"> </w:t>
      </w:r>
      <w:r>
        <w:rPr>
          <w:rFonts w:hint="eastAsia" w:cs="Times New Roman"/>
        </w:rPr>
        <w:t>m，坝高3</w:t>
      </w:r>
      <w:r>
        <w:rPr>
          <w:rFonts w:cs="Times New Roman"/>
        </w:rPr>
        <w:t xml:space="preserve"> </w:t>
      </w:r>
      <w:r>
        <w:rPr>
          <w:rFonts w:hint="eastAsia" w:cs="Times New Roman"/>
        </w:rPr>
        <w:t>m的堤坝），另一个保持现状不变，这样可以很好的对游客进行湿地演变的科普教育。综上所述，该区是对游客进行湿地保护和湿地演化教育的理想场所，故也将该区域规划为湿地科普宣教区。湿地科普宣教区面积268.49</w:t>
      </w:r>
      <w:r>
        <w:rPr>
          <w:rFonts w:cs="Times New Roman"/>
        </w:rPr>
        <w:t xml:space="preserve"> </w:t>
      </w:r>
      <w:r>
        <w:rPr>
          <w:rFonts w:hint="eastAsia" w:cs="Times New Roman"/>
        </w:rPr>
        <w:t>hm</w:t>
      </w:r>
      <w:r>
        <w:rPr>
          <w:rFonts w:hint="eastAsia" w:cs="Times New Roman"/>
          <w:vertAlign w:val="superscript"/>
        </w:rPr>
        <w:t>2</w:t>
      </w:r>
      <w:r>
        <w:rPr>
          <w:rFonts w:hint="eastAsia" w:cs="Times New Roman"/>
        </w:rPr>
        <w:t>，约占湿地公园总面积的7.32%。</w:t>
      </w:r>
    </w:p>
    <w:p>
      <w:pPr>
        <w:pStyle w:val="5"/>
        <w:numPr>
          <w:ilvl w:val="2"/>
          <w:numId w:val="0"/>
        </w:numPr>
        <w:ind w:leftChars="0"/>
      </w:pPr>
      <w:r>
        <w:rPr>
          <w:rFonts w:hint="eastAsia"/>
          <w:lang w:val="en-US" w:eastAsia="zh-CN"/>
        </w:rPr>
        <w:t xml:space="preserve">3.6.3 </w:t>
      </w:r>
      <w:r>
        <w:rPr>
          <w:rFonts w:hint="eastAsia"/>
        </w:rPr>
        <w:t>湖泊湿地恢复区</w:t>
      </w:r>
    </w:p>
    <w:p>
      <w:pPr>
        <w:ind w:firstLine="480"/>
        <w:rPr>
          <w:rFonts w:hint="eastAsia" w:cs="Times New Roman"/>
        </w:rPr>
      </w:pPr>
      <w:r>
        <w:rPr>
          <w:rFonts w:hint="eastAsia" w:cs="Times New Roman"/>
        </w:rPr>
        <w:t>据阿坝县旅游局提供的资料显示，章木沟中部的一碗水至达尔中中沟和恩章莫沟交汇处之间的河谷部分原本是个天然的高原湖泊，但随着岁月的流逝，该湖泊下游坝体逐渐被侵蚀并最终溃坝，湖泊消失，目前，湖泊下游坝体边缘仍清晰可见，规划对该湖泊进行人工恢复。在现有残存坝体的基础上，利用土石工程措施坝体恢复，新筑坝体长度约为80 m，坝体相对高度约为5 m。湖泊湿地恢复区面积42.35 hm</w:t>
      </w:r>
      <w:r>
        <w:rPr>
          <w:rFonts w:hint="eastAsia" w:cs="Times New Roman"/>
          <w:vertAlign w:val="superscript"/>
        </w:rPr>
        <w:t>2</w:t>
      </w:r>
      <w:r>
        <w:rPr>
          <w:rFonts w:hint="eastAsia" w:cs="Times New Roman"/>
        </w:rPr>
        <w:t>，约占湿地公园总面积的1.15%。</w:t>
      </w:r>
    </w:p>
    <w:p>
      <w:pPr>
        <w:pStyle w:val="5"/>
        <w:numPr>
          <w:ilvl w:val="2"/>
          <w:numId w:val="0"/>
        </w:numPr>
        <w:ind w:leftChars="0"/>
      </w:pPr>
      <w:r>
        <w:rPr>
          <w:rFonts w:hint="eastAsia"/>
          <w:lang w:val="en-US" w:eastAsia="zh-CN"/>
        </w:rPr>
        <w:t xml:space="preserve">3.6.4 </w:t>
      </w:r>
      <w:r>
        <w:rPr>
          <w:rFonts w:hint="eastAsia"/>
        </w:rPr>
        <w:t>综合利用区</w:t>
      </w:r>
    </w:p>
    <w:p>
      <w:pPr>
        <w:keepNext w:val="0"/>
        <w:keepLines w:val="0"/>
        <w:pageBreakBefore w:val="0"/>
        <w:widowControl w:val="0"/>
        <w:kinsoku/>
        <w:wordWrap/>
        <w:overflowPunct/>
        <w:topLinePunct w:val="0"/>
        <w:autoSpaceDE/>
        <w:autoSpaceDN/>
        <w:bidi w:val="0"/>
        <w:adjustRightInd/>
        <w:snapToGrid/>
        <w:spacing w:line="336" w:lineRule="auto"/>
        <w:ind w:firstLine="480"/>
        <w:textAlignment w:val="auto"/>
        <w:rPr>
          <w:rFonts w:cs="Times New Roman"/>
        </w:rPr>
      </w:pPr>
      <w:r>
        <w:rPr>
          <w:rFonts w:hint="eastAsia" w:cs="Times New Roman"/>
        </w:rPr>
        <w:t>一碗水至两河口间的规划范围，两岔沟至两河口间除湿地科普宣教区以外的其它规划范围，以及湿地公园内公路所在（经）区域作为综合利用区。该区总面积699.97</w:t>
      </w:r>
      <w:r>
        <w:rPr>
          <w:rFonts w:cs="Times New Roman"/>
        </w:rPr>
        <w:t xml:space="preserve"> </w:t>
      </w:r>
      <w:r>
        <w:rPr>
          <w:rFonts w:hint="eastAsia" w:cs="Times New Roman"/>
        </w:rPr>
        <w:t>hm</w:t>
      </w:r>
      <w:r>
        <w:rPr>
          <w:rFonts w:hint="eastAsia" w:cs="Times New Roman"/>
          <w:vertAlign w:val="superscript"/>
        </w:rPr>
        <w:t>2</w:t>
      </w:r>
      <w:r>
        <w:rPr>
          <w:rFonts w:hint="eastAsia" w:cs="Times New Roman"/>
        </w:rPr>
        <w:t>，约占湿地公园总面积的19.08%。该区地形地貌变化大，在相对短的距离内，可亲自体验到由高山峡谷突然过渡到高山宽谷的豁然开朗；该区自然景观也极为丰富，包括绚丽的高山杜鹃灌丛、五彩斑斓的高山草甸、稀疏的柏木林、郁郁葱葱的高山柳灌丛、灌丛中由橐吾、各类报春和各类马先蒿等组成的天然盆景以及如珍珠般洒落在草地中大大小小的沼泽。是进行生态观光、体验游牧生活、摄影和徒步游的理想场所，故将该区规划为综合利用区。</w:t>
      </w:r>
    </w:p>
    <w:p>
      <w:pPr>
        <w:pStyle w:val="5"/>
        <w:numPr>
          <w:ilvl w:val="2"/>
          <w:numId w:val="0"/>
        </w:numPr>
        <w:ind w:leftChars="0"/>
      </w:pPr>
      <w:r>
        <w:rPr>
          <w:rFonts w:hint="eastAsia"/>
          <w:lang w:val="en-US" w:eastAsia="zh-CN"/>
        </w:rPr>
        <w:t xml:space="preserve">3.6.5 </w:t>
      </w:r>
      <w:r>
        <w:rPr>
          <w:rFonts w:hint="eastAsia"/>
        </w:rPr>
        <w:t>管理服务区</w:t>
      </w:r>
    </w:p>
    <w:p>
      <w:pPr>
        <w:keepNext w:val="0"/>
        <w:keepLines w:val="0"/>
        <w:pageBreakBefore w:val="0"/>
        <w:widowControl w:val="0"/>
        <w:kinsoku/>
        <w:wordWrap/>
        <w:overflowPunct/>
        <w:topLinePunct w:val="0"/>
        <w:autoSpaceDE/>
        <w:autoSpaceDN/>
        <w:bidi w:val="0"/>
        <w:adjustRightInd/>
        <w:snapToGrid/>
        <w:spacing w:line="336" w:lineRule="auto"/>
        <w:ind w:firstLine="480"/>
        <w:textAlignment w:val="auto"/>
        <w:rPr>
          <w:rFonts w:cs="Times New Roman"/>
        </w:rPr>
      </w:pPr>
      <w:r>
        <w:rPr>
          <w:rFonts w:hint="eastAsia" w:cs="Times New Roman"/>
        </w:rPr>
        <w:t>从方便管理的角度考虑，将湿地公园管理区规划在章木沟和扎尕尔沟的交汇处。该区地势平坦，视野开阔，在此设管理区便于对整个湿地公园进行统筹管理。管理服务区面积8.64 hm</w:t>
      </w:r>
      <w:r>
        <w:rPr>
          <w:rFonts w:hint="eastAsia" w:cs="Times New Roman"/>
          <w:vertAlign w:val="superscript"/>
        </w:rPr>
        <w:t>2</w:t>
      </w:r>
      <w:r>
        <w:rPr>
          <w:rFonts w:hint="eastAsia" w:cs="Times New Roman"/>
        </w:rPr>
        <w:t>，约占湿地公园总面积的0.24%。</w:t>
      </w:r>
    </w:p>
    <w:p>
      <w:pPr>
        <w:tabs>
          <w:tab w:val="left" w:pos="2640"/>
        </w:tabs>
        <w:ind w:left="0" w:leftChars="0" w:firstLine="0" w:firstLineChars="0"/>
        <w:rPr>
          <w:rFonts w:cs="Times New Roma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pPr>
        <w:pStyle w:val="2"/>
        <w:numPr>
          <w:ilvl w:val="0"/>
          <w:numId w:val="0"/>
        </w:numPr>
        <w:ind w:leftChars="0"/>
        <w:rPr>
          <w:rFonts w:cs="Times New Roman"/>
        </w:rPr>
      </w:pPr>
      <w:bookmarkStart w:id="19" w:name="_Toc20977"/>
      <w:r>
        <w:rPr>
          <w:rFonts w:hint="eastAsia" w:cs="Times New Roman"/>
          <w:lang w:val="en-US" w:eastAsia="zh-CN"/>
        </w:rPr>
        <w:t xml:space="preserve">4 </w:t>
      </w:r>
      <w:r>
        <w:rPr>
          <w:rFonts w:cs="Times New Roman"/>
        </w:rPr>
        <w:t>评价区概况</w:t>
      </w:r>
      <w:bookmarkEnd w:id="19"/>
    </w:p>
    <w:p>
      <w:pPr>
        <w:pStyle w:val="3"/>
        <w:numPr>
          <w:ilvl w:val="1"/>
          <w:numId w:val="0"/>
        </w:numPr>
        <w:ind w:leftChars="0"/>
        <w:rPr>
          <w:rFonts w:cs="Times New Roman"/>
        </w:rPr>
      </w:pPr>
      <w:bookmarkStart w:id="20" w:name="_Toc4851"/>
      <w:r>
        <w:rPr>
          <w:rFonts w:hint="eastAsia" w:cs="Times New Roman"/>
          <w:lang w:val="en-US" w:eastAsia="zh-CN"/>
        </w:rPr>
        <w:t xml:space="preserve">4.1 </w:t>
      </w:r>
      <w:r>
        <w:rPr>
          <w:rFonts w:hint="eastAsia" w:cs="Times New Roman"/>
        </w:rPr>
        <w:t>评价区划定方法</w:t>
      </w:r>
      <w:bookmarkEnd w:id="20"/>
    </w:p>
    <w:p>
      <w:pPr>
        <w:ind w:firstLine="480"/>
        <w:rPr>
          <w:rFonts w:cs="Times New Roman"/>
        </w:rPr>
      </w:pPr>
      <w:r>
        <w:rPr>
          <w:rFonts w:hint="eastAsia" w:cs="Times New Roman"/>
        </w:rPr>
        <w:t>评价区具体划分方法参照</w:t>
      </w:r>
      <w:r>
        <w:rPr>
          <w:rFonts w:cs="Times New Roman"/>
        </w:rPr>
        <w:t>DB51/T1511-2012</w:t>
      </w:r>
      <w:r>
        <w:rPr>
          <w:rFonts w:hint="eastAsia" w:cs="Times New Roman"/>
        </w:rPr>
        <w:t>的划定方法和原则，将</w:t>
      </w:r>
      <w:r>
        <w:rPr>
          <w:rFonts w:hint="eastAsia" w:cs="Times New Roman"/>
          <w:lang w:val="en-US" w:eastAsia="zh-CN"/>
        </w:rPr>
        <w:t>拟改</w:t>
      </w:r>
      <w:r>
        <w:rPr>
          <w:rFonts w:hint="eastAsia" w:cs="Times New Roman"/>
        </w:rPr>
        <w:t>建道路线路与湿地公园边界等图层进行叠加，充分考虑湿地公园生态完整性及工程影响范围划定本次评价区范围。</w:t>
      </w:r>
    </w:p>
    <w:p>
      <w:pPr>
        <w:pStyle w:val="3"/>
        <w:numPr>
          <w:ilvl w:val="1"/>
          <w:numId w:val="0"/>
        </w:numPr>
        <w:ind w:leftChars="0"/>
        <w:rPr>
          <w:rFonts w:cs="Times New Roman"/>
        </w:rPr>
      </w:pPr>
      <w:bookmarkStart w:id="21" w:name="_Toc14107"/>
      <w:r>
        <w:rPr>
          <w:rFonts w:hint="eastAsia" w:cs="Times New Roman"/>
          <w:lang w:val="en-US" w:eastAsia="zh-CN"/>
        </w:rPr>
        <w:t xml:space="preserve">4.2 </w:t>
      </w:r>
      <w:r>
        <w:rPr>
          <w:rFonts w:hint="eastAsia" w:cs="Times New Roman"/>
        </w:rPr>
        <w:t>评价区范围和面积</w:t>
      </w:r>
      <w:bookmarkEnd w:id="21"/>
    </w:p>
    <w:p>
      <w:pPr>
        <w:pStyle w:val="5"/>
        <w:numPr>
          <w:ilvl w:val="2"/>
          <w:numId w:val="0"/>
        </w:numPr>
        <w:ind w:leftChars="0"/>
        <w:rPr>
          <w:rFonts w:cs="Times New Roman"/>
        </w:rPr>
      </w:pPr>
      <w:r>
        <w:rPr>
          <w:rFonts w:hint="eastAsia" w:cs="Times New Roman"/>
          <w:lang w:val="en-US" w:eastAsia="zh-CN"/>
        </w:rPr>
        <w:t xml:space="preserve">4.2.1 </w:t>
      </w:r>
      <w:r>
        <w:rPr>
          <w:rFonts w:hint="eastAsia" w:cs="Times New Roman"/>
        </w:rPr>
        <w:t>评价区四至范围</w:t>
      </w:r>
    </w:p>
    <w:p>
      <w:pPr>
        <w:ind w:firstLine="480"/>
        <w:rPr>
          <w:rFonts w:cs="Times New Roman"/>
        </w:rPr>
      </w:pPr>
      <w:r>
        <w:rPr>
          <w:rFonts w:hint="eastAsia" w:cs="Times New Roman"/>
        </w:rPr>
        <w:t>本项目确定的评价区范围为：以公路轴线为中心，向</w:t>
      </w:r>
      <w:r>
        <w:rPr>
          <w:rFonts w:hint="eastAsia" w:cs="Times New Roman"/>
          <w:lang w:val="en-US" w:eastAsia="zh-CN"/>
        </w:rPr>
        <w:t>两</w:t>
      </w:r>
      <w:r>
        <w:rPr>
          <w:rFonts w:hint="eastAsia" w:cs="Times New Roman"/>
        </w:rPr>
        <w:t>侧水平延伸</w:t>
      </w:r>
      <w:r>
        <w:rPr>
          <w:rFonts w:cs="Times New Roman"/>
        </w:rPr>
        <w:t>1km</w:t>
      </w:r>
      <w:r>
        <w:rPr>
          <w:rFonts w:hint="eastAsia" w:cs="Times New Roman"/>
        </w:rPr>
        <w:t>的分界线以</w:t>
      </w:r>
      <w:r>
        <w:rPr>
          <w:rFonts w:hint="eastAsia" w:cs="Times New Roman"/>
          <w:lang w:val="en-US" w:eastAsia="zh-CN"/>
        </w:rPr>
        <w:t>内</w:t>
      </w:r>
      <w:r>
        <w:rPr>
          <w:rFonts w:hint="eastAsia" w:cs="Times New Roman"/>
        </w:rPr>
        <w:t>的湿地公园范围，</w:t>
      </w:r>
      <w:r>
        <w:rPr>
          <w:rFonts w:hint="eastAsia" w:cs="Times New Roman"/>
          <w:lang w:val="en-US" w:eastAsia="zh-CN"/>
        </w:rPr>
        <w:t>已</w:t>
      </w:r>
      <w:r>
        <w:rPr>
          <w:rFonts w:hint="eastAsia" w:cs="Times New Roman"/>
        </w:rPr>
        <w:t>全部包括项目建设的直接和间接影响区。</w:t>
      </w:r>
    </w:p>
    <w:p>
      <w:pPr>
        <w:pStyle w:val="5"/>
        <w:numPr>
          <w:ilvl w:val="2"/>
          <w:numId w:val="0"/>
        </w:numPr>
        <w:ind w:leftChars="0"/>
        <w:rPr>
          <w:rFonts w:cs="Times New Roman"/>
        </w:rPr>
      </w:pPr>
      <w:r>
        <w:rPr>
          <w:rFonts w:hint="eastAsia" w:cs="Times New Roman"/>
          <w:lang w:val="en-US" w:eastAsia="zh-CN"/>
        </w:rPr>
        <w:t xml:space="preserve">4.2.2 </w:t>
      </w:r>
      <w:r>
        <w:rPr>
          <w:rFonts w:hint="eastAsia" w:cs="Times New Roman"/>
        </w:rPr>
        <w:t>评价区海拔范围和面积</w:t>
      </w:r>
    </w:p>
    <w:p>
      <w:pPr>
        <w:ind w:firstLine="480"/>
        <w:rPr>
          <w:rFonts w:cs="Times New Roman"/>
        </w:rPr>
      </w:pPr>
      <w:r>
        <w:rPr>
          <w:rFonts w:hint="eastAsia" w:cs="Times New Roman"/>
        </w:rPr>
        <w:t>评价区海拔高度范围为约</w:t>
      </w:r>
      <w:r>
        <w:rPr>
          <w:rFonts w:hint="eastAsia" w:cs="Times New Roman"/>
          <w:highlight w:val="none"/>
        </w:rPr>
        <w:t>3</w:t>
      </w:r>
      <w:r>
        <w:rPr>
          <w:rFonts w:hint="eastAsia" w:cs="Times New Roman"/>
          <w:highlight w:val="none"/>
          <w:lang w:val="en-US" w:eastAsia="zh-CN"/>
        </w:rPr>
        <w:t>708</w:t>
      </w:r>
      <w:r>
        <w:rPr>
          <w:rFonts w:cs="Times New Roman"/>
          <w:highlight w:val="none"/>
        </w:rPr>
        <w:t>-</w:t>
      </w:r>
      <w:r>
        <w:rPr>
          <w:rFonts w:hint="eastAsia" w:cs="Times New Roman"/>
          <w:highlight w:val="none"/>
          <w:lang w:val="en-US" w:eastAsia="zh-CN"/>
        </w:rPr>
        <w:t>4</w:t>
      </w:r>
      <w:r>
        <w:rPr>
          <w:rFonts w:hint="eastAsia" w:cs="Times New Roman"/>
          <w:highlight w:val="none"/>
        </w:rPr>
        <w:t>453</w:t>
      </w:r>
      <w:r>
        <w:rPr>
          <w:rFonts w:hint="eastAsia" w:cs="Times New Roman"/>
          <w:highlight w:val="none"/>
          <w:lang w:val="en-US" w:eastAsia="zh-CN"/>
        </w:rPr>
        <w:t xml:space="preserve"> </w:t>
      </w:r>
      <w:r>
        <w:rPr>
          <w:rFonts w:cs="Times New Roman"/>
          <w:highlight w:val="none"/>
        </w:rPr>
        <w:t>m</w:t>
      </w:r>
      <w:r>
        <w:rPr>
          <w:rFonts w:hint="eastAsia" w:cs="Times New Roman"/>
          <w:highlight w:val="none"/>
        </w:rPr>
        <w:t>，</w:t>
      </w:r>
      <w:r>
        <w:rPr>
          <w:rFonts w:hint="eastAsia" w:cs="Times New Roman"/>
        </w:rPr>
        <w:t>评价区总面积约</w:t>
      </w:r>
      <w:r>
        <w:rPr>
          <w:rFonts w:hint="eastAsia" w:cs="Times New Roman"/>
          <w:lang w:val="en-US" w:eastAsia="zh-CN"/>
        </w:rPr>
        <w:t xml:space="preserve">546.57 </w:t>
      </w:r>
      <w:r>
        <w:rPr>
          <w:rFonts w:cs="Times New Roman"/>
        </w:rPr>
        <w:t>hm</w:t>
      </w:r>
      <w:r>
        <w:rPr>
          <w:rFonts w:cs="Times New Roman"/>
          <w:vertAlign w:val="superscript"/>
        </w:rPr>
        <w:t>2</w:t>
      </w:r>
      <w:r>
        <w:rPr>
          <w:rFonts w:hint="eastAsia" w:cs="Times New Roman"/>
        </w:rPr>
        <w:t>。</w:t>
      </w:r>
    </w:p>
    <w:p>
      <w:pPr>
        <w:pStyle w:val="5"/>
        <w:numPr>
          <w:ilvl w:val="2"/>
          <w:numId w:val="0"/>
        </w:numPr>
        <w:ind w:leftChars="0"/>
        <w:rPr>
          <w:rFonts w:cs="Times New Roman"/>
        </w:rPr>
      </w:pPr>
      <w:r>
        <w:rPr>
          <w:rFonts w:hint="eastAsia" w:cs="Times New Roman"/>
          <w:lang w:val="en-US" w:eastAsia="zh-CN"/>
        </w:rPr>
        <w:t xml:space="preserve">4.2.3 </w:t>
      </w:r>
      <w:r>
        <w:rPr>
          <w:rFonts w:hint="eastAsia" w:cs="Times New Roman"/>
        </w:rPr>
        <w:t>重点调查评价区域、评估对象及重点</w:t>
      </w:r>
    </w:p>
    <w:p>
      <w:pPr>
        <w:ind w:firstLine="482"/>
        <w:rPr>
          <w:rFonts w:cs="Times New Roman"/>
        </w:rPr>
      </w:pPr>
      <w:r>
        <w:rPr>
          <w:rFonts w:hint="eastAsia" w:cs="Times New Roman"/>
          <w:b/>
        </w:rPr>
        <w:t>重点调查评价区</w:t>
      </w:r>
      <w:r>
        <w:rPr>
          <w:rFonts w:hint="eastAsia" w:cs="Times New Roman"/>
        </w:rPr>
        <w:t>：阿坝县莲班路（安斗乡至罗云措沟段）美丽乡村路建设</w:t>
      </w:r>
      <w:r>
        <w:rPr>
          <w:rFonts w:hint="eastAsia" w:cs="Times New Roman"/>
          <w:lang w:val="en-US" w:eastAsia="zh-CN"/>
        </w:rPr>
        <w:t>工程</w:t>
      </w:r>
      <w:r>
        <w:rPr>
          <w:rFonts w:hint="eastAsia" w:cs="Times New Roman"/>
        </w:rPr>
        <w:t>进入湿地公园路段</w:t>
      </w:r>
      <w:r>
        <w:rPr>
          <w:rFonts w:hint="eastAsia" w:cs="Times New Roman"/>
          <w:lang w:val="en-US" w:eastAsia="zh-CN"/>
        </w:rPr>
        <w:t>两</w:t>
      </w:r>
      <w:r>
        <w:rPr>
          <w:rFonts w:hint="eastAsia" w:cs="Times New Roman"/>
        </w:rPr>
        <w:t>侧</w:t>
      </w:r>
      <w:r>
        <w:rPr>
          <w:rFonts w:cs="Times New Roman"/>
        </w:rPr>
        <w:t>200m</w:t>
      </w:r>
      <w:r>
        <w:rPr>
          <w:rFonts w:hint="eastAsia" w:cs="Times New Roman"/>
        </w:rPr>
        <w:t>的范围。</w:t>
      </w:r>
    </w:p>
    <w:p>
      <w:pPr>
        <w:ind w:firstLine="482"/>
        <w:rPr>
          <w:rFonts w:cs="Times New Roman"/>
        </w:rPr>
      </w:pPr>
      <w:r>
        <w:rPr>
          <w:rFonts w:hint="eastAsia" w:cs="Times New Roman"/>
          <w:b/>
        </w:rPr>
        <w:t>评价对象</w:t>
      </w:r>
      <w:r>
        <w:rPr>
          <w:rFonts w:hint="eastAsia" w:cs="Times New Roman"/>
        </w:rPr>
        <w:t>包括：</w:t>
      </w:r>
    </w:p>
    <w:p>
      <w:pPr>
        <w:ind w:firstLine="480"/>
        <w:rPr>
          <w:rFonts w:cs="Times New Roman"/>
        </w:rPr>
      </w:pPr>
      <w:r>
        <w:rPr>
          <w:rFonts w:hint="eastAsia" w:cs="Times New Roman"/>
        </w:rPr>
        <w:t>（</w:t>
      </w:r>
      <w:r>
        <w:rPr>
          <w:rFonts w:cs="Times New Roman"/>
        </w:rPr>
        <w:t>1</w:t>
      </w:r>
      <w:r>
        <w:rPr>
          <w:rFonts w:hint="eastAsia" w:cs="Times New Roman"/>
        </w:rPr>
        <w:t>）</w:t>
      </w:r>
      <w:r>
        <w:rPr>
          <w:rFonts w:hint="eastAsia" w:cs="Times New Roman"/>
          <w:lang w:val="en-US" w:eastAsia="zh-CN"/>
        </w:rPr>
        <w:t>系统结构</w:t>
      </w:r>
      <w:r>
        <w:rPr>
          <w:rFonts w:hint="eastAsia" w:cs="Times New Roman"/>
        </w:rPr>
        <w:t>；</w:t>
      </w:r>
    </w:p>
    <w:p>
      <w:pPr>
        <w:ind w:firstLine="480"/>
        <w:rPr>
          <w:rFonts w:cs="Times New Roman"/>
        </w:rPr>
      </w:pPr>
      <w:r>
        <w:rPr>
          <w:rFonts w:hint="eastAsia" w:cs="Times New Roman"/>
        </w:rPr>
        <w:t>（</w:t>
      </w:r>
      <w:r>
        <w:rPr>
          <w:rFonts w:cs="Times New Roman"/>
        </w:rPr>
        <w:t>2</w:t>
      </w:r>
      <w:r>
        <w:rPr>
          <w:rFonts w:hint="eastAsia" w:cs="Times New Roman"/>
        </w:rPr>
        <w:t>）多样化的湿地景观；</w:t>
      </w:r>
    </w:p>
    <w:p>
      <w:pPr>
        <w:ind w:firstLine="480"/>
        <w:rPr>
          <w:rFonts w:cs="Times New Roman"/>
        </w:rPr>
      </w:pPr>
      <w:r>
        <w:rPr>
          <w:rFonts w:hint="eastAsia" w:cs="Times New Roman"/>
        </w:rPr>
        <w:t>（</w:t>
      </w:r>
      <w:r>
        <w:rPr>
          <w:rFonts w:cs="Times New Roman"/>
        </w:rPr>
        <w:t>3</w:t>
      </w:r>
      <w:r>
        <w:rPr>
          <w:rFonts w:hint="eastAsia" w:cs="Times New Roman"/>
        </w:rPr>
        <w:t>）湿地保护与可持续利用；</w:t>
      </w:r>
    </w:p>
    <w:p>
      <w:pPr>
        <w:ind w:firstLine="480"/>
        <w:rPr>
          <w:rFonts w:cs="Times New Roman"/>
        </w:rPr>
      </w:pPr>
      <w:r>
        <w:rPr>
          <w:rFonts w:hint="eastAsia" w:cs="Times New Roman"/>
        </w:rPr>
        <w:t>（</w:t>
      </w:r>
      <w:r>
        <w:rPr>
          <w:rFonts w:cs="Times New Roman"/>
        </w:rPr>
        <w:t>4</w:t>
      </w:r>
      <w:r>
        <w:rPr>
          <w:rFonts w:hint="eastAsia" w:cs="Times New Roman"/>
        </w:rPr>
        <w:t>）湿地功能效益。</w:t>
      </w:r>
    </w:p>
    <w:p>
      <w:pPr>
        <w:ind w:firstLine="482"/>
        <w:rPr>
          <w:rFonts w:cs="Times New Roman"/>
        </w:rPr>
      </w:pPr>
      <w:r>
        <w:rPr>
          <w:rFonts w:hint="eastAsia" w:cs="Times New Roman"/>
          <w:b/>
        </w:rPr>
        <w:t>调查评价重点</w:t>
      </w:r>
      <w:r>
        <w:rPr>
          <w:rFonts w:hint="eastAsia" w:cs="Times New Roman"/>
        </w:rPr>
        <w:t>：</w:t>
      </w:r>
    </w:p>
    <w:p>
      <w:pPr>
        <w:ind w:firstLine="480"/>
        <w:rPr>
          <w:rFonts w:hint="eastAsia" w:cs="Times New Roman"/>
          <w:lang w:eastAsia="zh-CN"/>
        </w:rPr>
      </w:pPr>
      <w:r>
        <w:rPr>
          <w:rFonts w:hint="eastAsia" w:cs="Times New Roman"/>
        </w:rPr>
        <w:t>由于阿坝县莲班路（安斗乡至罗云措沟段）美丽乡村路建设工程对上述评价对象的直接影响，施工期噪声、废渣、废气、废水、粉尘、人为活动等对上述评价对象的间接影响</w:t>
      </w:r>
      <w:r>
        <w:rPr>
          <w:rFonts w:hint="eastAsia" w:cs="Times New Roman"/>
          <w:lang w:eastAsia="zh-CN"/>
        </w:rPr>
        <w:t>。</w:t>
      </w:r>
    </w:p>
    <w:p>
      <w:pPr>
        <w:ind w:firstLine="480"/>
        <w:rPr>
          <w:rFonts w:cs="Times New Roman"/>
        </w:rPr>
      </w:pPr>
      <w:r>
        <w:rPr>
          <w:rFonts w:hint="eastAsia" w:cs="Times New Roman"/>
        </w:rPr>
        <w:t>运营期</w:t>
      </w:r>
      <w:r>
        <w:rPr>
          <w:rFonts w:cs="Times New Roman"/>
        </w:rPr>
        <w:t>的评价重点为项目</w:t>
      </w:r>
      <w:r>
        <w:rPr>
          <w:rFonts w:hint="eastAsia" w:cs="Times New Roman"/>
        </w:rPr>
        <w:t>区域风险事故、噪声、汽车尾气、粉尘等对上述评价对象的影响以及道路建成后对湿地公园对外交通的正向影响。</w:t>
      </w:r>
    </w:p>
    <w:p>
      <w:pPr>
        <w:pStyle w:val="3"/>
        <w:numPr>
          <w:ilvl w:val="1"/>
          <w:numId w:val="0"/>
        </w:numPr>
        <w:ind w:leftChars="0"/>
        <w:rPr>
          <w:rFonts w:cs="Times New Roman"/>
        </w:rPr>
      </w:pPr>
      <w:bookmarkStart w:id="22" w:name="_Toc21067"/>
      <w:r>
        <w:rPr>
          <w:rFonts w:hint="eastAsia" w:cs="Times New Roman"/>
          <w:lang w:val="en-US" w:eastAsia="zh-CN"/>
        </w:rPr>
        <w:t xml:space="preserve">4.3 </w:t>
      </w:r>
      <w:r>
        <w:rPr>
          <w:rFonts w:hint="eastAsia" w:cs="Times New Roman"/>
        </w:rPr>
        <w:t>评价时段</w:t>
      </w:r>
      <w:bookmarkEnd w:id="22"/>
    </w:p>
    <w:p>
      <w:pPr>
        <w:ind w:firstLine="480"/>
        <w:rPr>
          <w:rFonts w:cs="Times New Roman"/>
        </w:rPr>
      </w:pPr>
      <w:r>
        <w:rPr>
          <w:rFonts w:hint="eastAsia" w:cs="Times New Roman"/>
        </w:rPr>
        <w:t>评价时段主要为工程施工期</w:t>
      </w:r>
      <w:r>
        <w:rPr>
          <w:rFonts w:hint="eastAsia" w:cs="Times New Roman"/>
          <w:lang w:val="en-US" w:eastAsia="zh-CN"/>
        </w:rPr>
        <w:t>和</w:t>
      </w:r>
      <w:r>
        <w:rPr>
          <w:rFonts w:hint="eastAsia" w:cs="Times New Roman"/>
        </w:rPr>
        <w:t>工程运营期。</w:t>
      </w:r>
    </w:p>
    <w:p>
      <w:pPr>
        <w:pStyle w:val="3"/>
        <w:numPr>
          <w:ilvl w:val="1"/>
          <w:numId w:val="0"/>
        </w:numPr>
        <w:ind w:leftChars="0"/>
        <w:rPr>
          <w:rFonts w:cs="Times New Roman"/>
        </w:rPr>
      </w:pPr>
      <w:bookmarkStart w:id="23" w:name="_Toc29236"/>
      <w:r>
        <w:rPr>
          <w:rFonts w:hint="eastAsia" w:cs="Times New Roman"/>
          <w:lang w:val="en-US" w:eastAsia="zh-CN"/>
        </w:rPr>
        <w:t xml:space="preserve">4.4 </w:t>
      </w:r>
      <w:r>
        <w:rPr>
          <w:rFonts w:hint="eastAsia" w:cs="Times New Roman"/>
        </w:rPr>
        <w:t>调查评价方法</w:t>
      </w:r>
      <w:bookmarkEnd w:id="23"/>
    </w:p>
    <w:p>
      <w:pPr>
        <w:pStyle w:val="5"/>
        <w:numPr>
          <w:ilvl w:val="2"/>
          <w:numId w:val="0"/>
        </w:numPr>
        <w:ind w:leftChars="0"/>
        <w:rPr>
          <w:rFonts w:cs="Times New Roman"/>
        </w:rPr>
      </w:pPr>
      <w:r>
        <w:rPr>
          <w:rFonts w:hint="eastAsia" w:cs="Times New Roman"/>
          <w:lang w:val="en-US" w:eastAsia="zh-CN"/>
        </w:rPr>
        <w:t xml:space="preserve">4.4.1 </w:t>
      </w:r>
      <w:r>
        <w:rPr>
          <w:rFonts w:hint="eastAsia" w:cs="Times New Roman"/>
        </w:rPr>
        <w:t>植被和植物多样性调查与影响分析方法</w:t>
      </w:r>
    </w:p>
    <w:p>
      <w:pPr>
        <w:ind w:firstLine="480"/>
        <w:rPr>
          <w:rFonts w:cs="Times New Roman"/>
        </w:rPr>
      </w:pPr>
      <w:r>
        <w:rPr>
          <w:rFonts w:hint="eastAsia" w:cs="Times New Roman"/>
        </w:rPr>
        <w:t>调查方法：采用样线法和样方法，结合植物区系学和植物群落学考察进行。植物区系学调查包括物种识别、统计、鉴定等。植物群落调查采用目测法，对代表植被垂直带的主要植物群落类型和主要植物资源出现区，采用样方法调查其物种组成和相对数量。植物区系调查限于维管植物，重点是种子植物。样方调查中记录属种、盖度、郁闭度等基本特征。在路线调查中，根据乔木、灌木、草本的优势种确定群落类型。</w:t>
      </w:r>
    </w:p>
    <w:p>
      <w:pPr>
        <w:ind w:firstLine="480"/>
        <w:rPr>
          <w:rFonts w:cs="Times New Roman"/>
        </w:rPr>
      </w:pPr>
      <w:r>
        <w:rPr>
          <w:rFonts w:hint="eastAsia" w:cs="Times New Roman"/>
        </w:rPr>
        <w:t>调查中植物种属的鉴定主要参考《中国高等植物图鉴》、《中国植物志》、《四川植物志》等。</w:t>
      </w:r>
    </w:p>
    <w:p>
      <w:pPr>
        <w:ind w:firstLine="480"/>
        <w:rPr>
          <w:rFonts w:cs="Times New Roman"/>
        </w:rPr>
      </w:pPr>
      <w:r>
        <w:rPr>
          <w:rFonts w:hint="eastAsia" w:cs="Times New Roman"/>
        </w:rPr>
        <w:t>影响分析方法：项目在运营期产生废水、废渣、废气等污染，根据影响区每种植物对各类污染的耐受程度，分析项目运营产生的污染可能影响的植物物种及影响程度。在此基础上，提出避免或减轻项目运营对区域植物物种多样性影响的措施。再根据受影响的植物物种分布区判断是否可能有植物物种从评价区消失。</w:t>
      </w:r>
    </w:p>
    <w:p>
      <w:pPr>
        <w:pStyle w:val="5"/>
        <w:numPr>
          <w:ilvl w:val="2"/>
          <w:numId w:val="0"/>
        </w:numPr>
        <w:ind w:leftChars="0"/>
        <w:rPr>
          <w:rFonts w:cs="Times New Roman"/>
        </w:rPr>
      </w:pPr>
      <w:r>
        <w:rPr>
          <w:rFonts w:hint="eastAsia" w:cs="Times New Roman"/>
          <w:lang w:val="en-US" w:eastAsia="zh-CN"/>
        </w:rPr>
        <w:t xml:space="preserve">4.4.2 </w:t>
      </w:r>
      <w:r>
        <w:rPr>
          <w:rFonts w:hint="eastAsia" w:cs="Times New Roman"/>
        </w:rPr>
        <w:t>脊椎动物多样性调查与影响分析方法</w:t>
      </w:r>
    </w:p>
    <w:p>
      <w:pPr>
        <w:pStyle w:val="6"/>
        <w:numPr>
          <w:ilvl w:val="0"/>
          <w:numId w:val="0"/>
        </w:numPr>
      </w:pPr>
      <w:r>
        <w:t>4.4.2.1</w:t>
      </w:r>
      <w:r>
        <w:rPr>
          <w:rFonts w:hint="eastAsia"/>
        </w:rPr>
        <w:t>陆生脊椎动物调查方法</w:t>
      </w:r>
    </w:p>
    <w:p>
      <w:pPr>
        <w:ind w:firstLine="480"/>
        <w:rPr>
          <w:rFonts w:cs="Times New Roman"/>
        </w:rPr>
      </w:pPr>
      <w:r>
        <w:rPr>
          <w:rFonts w:hint="eastAsia" w:cs="Times New Roman"/>
        </w:rPr>
        <w:t>陆生脊椎动物多样性调查主要采用现场路线法辅以现场访问的方法进行，然后根据现场调查数据和访问情况，查阅以往的调查数据和相关著作及文献资料确定动物种类。</w:t>
      </w:r>
    </w:p>
    <w:p>
      <w:pPr>
        <w:pStyle w:val="6"/>
        <w:numPr>
          <w:ilvl w:val="0"/>
          <w:numId w:val="0"/>
        </w:numPr>
      </w:pPr>
      <w:r>
        <w:t>4.4.2.2</w:t>
      </w:r>
      <w:r>
        <w:rPr>
          <w:rFonts w:hint="eastAsia"/>
        </w:rPr>
        <w:t>鱼类调查方法</w:t>
      </w:r>
    </w:p>
    <w:p>
      <w:pPr>
        <w:ind w:firstLine="480"/>
        <w:rPr>
          <w:rFonts w:cs="Times New Roman"/>
        </w:rPr>
      </w:pPr>
      <w:r>
        <w:rPr>
          <w:rFonts w:hint="eastAsia" w:cs="Times New Roman"/>
        </w:rPr>
        <w:t>本项目影响评价范围大部分为</w:t>
      </w:r>
      <w:r>
        <w:rPr>
          <w:rFonts w:hint="eastAsia" w:cs="Times New Roman"/>
          <w:highlight w:val="none"/>
          <w:lang w:val="en-US" w:eastAsia="zh-CN"/>
        </w:rPr>
        <w:t>龙尕曲</w:t>
      </w:r>
      <w:r>
        <w:rPr>
          <w:rFonts w:hint="eastAsia" w:cs="Times New Roman"/>
          <w:highlight w:val="none"/>
        </w:rPr>
        <w:t>河段</w:t>
      </w:r>
      <w:r>
        <w:rPr>
          <w:rFonts w:hint="eastAsia" w:cs="Times New Roman"/>
        </w:rPr>
        <w:t>，鱼类调查采取查阅资料和访问当地居民的方式进行。</w:t>
      </w:r>
    </w:p>
    <w:p>
      <w:pPr>
        <w:pStyle w:val="3"/>
        <w:numPr>
          <w:ilvl w:val="1"/>
          <w:numId w:val="0"/>
        </w:numPr>
        <w:ind w:leftChars="0"/>
        <w:rPr>
          <w:rFonts w:cs="Times New Roman"/>
        </w:rPr>
      </w:pPr>
      <w:bookmarkStart w:id="24" w:name="_Toc25788"/>
      <w:r>
        <w:rPr>
          <w:rFonts w:hint="eastAsia" w:cs="Times New Roman"/>
          <w:lang w:val="en-US" w:eastAsia="zh-CN"/>
        </w:rPr>
        <w:t xml:space="preserve">4.5 </w:t>
      </w:r>
      <w:r>
        <w:rPr>
          <w:rFonts w:hint="eastAsia" w:cs="Times New Roman"/>
        </w:rPr>
        <w:t>评价区生态及湿地现状</w:t>
      </w:r>
      <w:bookmarkEnd w:id="24"/>
    </w:p>
    <w:p>
      <w:pPr>
        <w:pStyle w:val="5"/>
        <w:numPr>
          <w:ilvl w:val="2"/>
          <w:numId w:val="0"/>
        </w:numPr>
        <w:ind w:leftChars="0"/>
        <w:rPr>
          <w:rFonts w:cs="Times New Roman"/>
        </w:rPr>
      </w:pPr>
      <w:r>
        <w:rPr>
          <w:rFonts w:hint="eastAsia" w:cs="Times New Roman"/>
          <w:lang w:val="en-US" w:eastAsia="zh-CN"/>
        </w:rPr>
        <w:t xml:space="preserve">4.5.1 </w:t>
      </w:r>
      <w:r>
        <w:rPr>
          <w:rFonts w:hint="eastAsia" w:cs="Times New Roman"/>
        </w:rPr>
        <w:t>生态环境现状</w:t>
      </w:r>
    </w:p>
    <w:p>
      <w:pPr>
        <w:pStyle w:val="6"/>
        <w:numPr>
          <w:ilvl w:val="0"/>
          <w:numId w:val="0"/>
        </w:numPr>
      </w:pPr>
      <w:r>
        <w:t>4.5.1.1</w:t>
      </w:r>
      <w:r>
        <w:rPr>
          <w:rFonts w:hint="eastAsia"/>
          <w:lang w:val="en-US" w:eastAsia="zh-CN"/>
        </w:rPr>
        <w:t xml:space="preserve"> </w:t>
      </w:r>
      <w:r>
        <w:t>非生物因子现状</w:t>
      </w:r>
    </w:p>
    <w:p>
      <w:pPr>
        <w:spacing w:after="32" w:afterLines="10"/>
        <w:ind w:firstLine="480"/>
        <w:rPr>
          <w:rFonts w:cs="Times New Roman"/>
          <w:highlight w:val="none"/>
        </w:rPr>
      </w:pPr>
      <w:r>
        <w:rPr>
          <w:rFonts w:cs="Times New Roman"/>
          <w:highlight w:val="none"/>
        </w:rPr>
        <w:t>评价区主要位于莲宝叶则湿地公园内，根据搜集资料显示各类因子现状如下：</w:t>
      </w:r>
    </w:p>
    <w:p>
      <w:pPr>
        <w:spacing w:after="32" w:afterLines="10"/>
        <w:ind w:firstLine="480"/>
        <w:rPr>
          <w:rFonts w:cs="Times New Roman"/>
          <w:highlight w:val="none"/>
        </w:rPr>
      </w:pPr>
      <w:r>
        <w:rPr>
          <w:rFonts w:cs="Times New Roman"/>
          <w:highlight w:val="none"/>
        </w:rPr>
        <w:t>空气环境：评价区地处高原，没有工业污染源，大气自净能力较强，全年绝大部分时段空气质量均能达到《环境空气质量标准》（GB3095-</w:t>
      </w:r>
      <w:r>
        <w:rPr>
          <w:rFonts w:hint="eastAsia" w:cs="Times New Roman"/>
          <w:highlight w:val="none"/>
          <w:lang w:val="en-US" w:eastAsia="zh-CN"/>
        </w:rPr>
        <w:t>2012</w:t>
      </w:r>
      <w:r>
        <w:rPr>
          <w:rFonts w:cs="Times New Roman"/>
          <w:highlight w:val="none"/>
        </w:rPr>
        <w:t>）中一级标准。</w:t>
      </w:r>
    </w:p>
    <w:p>
      <w:pPr>
        <w:spacing w:after="32" w:afterLines="10"/>
        <w:ind w:firstLine="480"/>
        <w:rPr>
          <w:rFonts w:cs="Times New Roman"/>
          <w:highlight w:val="none"/>
        </w:rPr>
      </w:pPr>
      <w:r>
        <w:rPr>
          <w:rFonts w:cs="Times New Roman"/>
          <w:highlight w:val="none"/>
        </w:rPr>
        <w:t>水环境：</w:t>
      </w:r>
      <w:bookmarkStart w:id="25" w:name="_Hlk37093246"/>
      <w:r>
        <w:rPr>
          <w:rFonts w:cs="Times New Roman"/>
          <w:highlight w:val="none"/>
        </w:rPr>
        <w:t>莲宝叶则湿地公园内</w:t>
      </w:r>
      <w:bookmarkEnd w:id="25"/>
      <w:r>
        <w:rPr>
          <w:rFonts w:cs="Times New Roman"/>
          <w:highlight w:val="none"/>
        </w:rPr>
        <w:t>无工业污染源，水质清澈、透明度高，水质良好，并且湿地公园距离阿坝县城段有一定的距离，总体能达到《地表水环境质量标准》（GB3838-2002）中</w:t>
      </w:r>
      <w:r>
        <w:rPr>
          <w:rFonts w:cs="Times New Roman"/>
          <w:highlight w:val="none"/>
        </w:rPr>
        <w:fldChar w:fldCharType="begin"/>
      </w:r>
      <w:r>
        <w:rPr>
          <w:rFonts w:cs="Times New Roman"/>
          <w:highlight w:val="none"/>
        </w:rPr>
        <w:instrText xml:space="preserve"> = 1 \* ROMAN </w:instrText>
      </w:r>
      <w:r>
        <w:rPr>
          <w:rFonts w:cs="Times New Roman"/>
          <w:highlight w:val="none"/>
        </w:rPr>
        <w:fldChar w:fldCharType="separate"/>
      </w:r>
      <w:r>
        <w:rPr>
          <w:rFonts w:cs="Times New Roman"/>
          <w:highlight w:val="none"/>
        </w:rPr>
        <w:t>I</w:t>
      </w:r>
      <w:r>
        <w:rPr>
          <w:rFonts w:cs="Times New Roman"/>
          <w:highlight w:val="none"/>
        </w:rPr>
        <w:fldChar w:fldCharType="end"/>
      </w:r>
      <w:r>
        <w:rPr>
          <w:rFonts w:cs="Times New Roman"/>
          <w:highlight w:val="none"/>
        </w:rPr>
        <w:t>类水标准。</w:t>
      </w:r>
    </w:p>
    <w:p>
      <w:pPr>
        <w:spacing w:after="32" w:afterLines="10"/>
        <w:ind w:firstLine="480"/>
        <w:rPr>
          <w:rFonts w:cs="Times New Roman"/>
          <w:highlight w:val="none"/>
        </w:rPr>
      </w:pPr>
      <w:r>
        <w:rPr>
          <w:rFonts w:cs="Times New Roman"/>
          <w:highlight w:val="none"/>
        </w:rPr>
        <w:t>声环境</w:t>
      </w:r>
      <w:r>
        <w:rPr>
          <w:rFonts w:hint="eastAsia" w:cs="Times New Roman"/>
          <w:highlight w:val="none"/>
        </w:rPr>
        <w:t>：</w:t>
      </w:r>
      <w:r>
        <w:rPr>
          <w:rFonts w:cs="Times New Roman"/>
          <w:highlight w:val="none"/>
        </w:rPr>
        <w:t>评价区周围民居较少，道路交通量也小，总体声环境能达到《声环境质量标准》（GB3096</w:t>
      </w:r>
      <w:r>
        <w:rPr>
          <w:rFonts w:hint="eastAsia" w:cs="Times New Roman"/>
          <w:highlight w:val="none"/>
        </w:rPr>
        <w:t>-</w:t>
      </w:r>
      <w:r>
        <w:rPr>
          <w:rFonts w:cs="Times New Roman"/>
          <w:highlight w:val="none"/>
        </w:rPr>
        <w:t>2008）中</w:t>
      </w:r>
      <w:r>
        <w:rPr>
          <w:rFonts w:cs="Times New Roman"/>
          <w:highlight w:val="none"/>
        </w:rPr>
        <w:fldChar w:fldCharType="begin"/>
      </w:r>
      <w:r>
        <w:rPr>
          <w:rFonts w:cs="Times New Roman"/>
          <w:highlight w:val="none"/>
        </w:rPr>
        <w:instrText xml:space="preserve"> = 1 \* ROMAN </w:instrText>
      </w:r>
      <w:r>
        <w:rPr>
          <w:rFonts w:cs="Times New Roman"/>
          <w:highlight w:val="none"/>
        </w:rPr>
        <w:fldChar w:fldCharType="separate"/>
      </w:r>
      <w:r>
        <w:rPr>
          <w:rFonts w:cs="Times New Roman"/>
          <w:highlight w:val="none"/>
        </w:rPr>
        <w:t>I</w:t>
      </w:r>
      <w:r>
        <w:rPr>
          <w:rFonts w:cs="Times New Roman"/>
          <w:highlight w:val="none"/>
        </w:rPr>
        <w:fldChar w:fldCharType="end"/>
      </w:r>
      <w:r>
        <w:rPr>
          <w:rFonts w:cs="Times New Roman"/>
          <w:highlight w:val="none"/>
        </w:rPr>
        <w:t>类标准。</w:t>
      </w:r>
    </w:p>
    <w:p>
      <w:pPr>
        <w:spacing w:after="32" w:afterLines="10"/>
        <w:ind w:firstLine="480"/>
        <w:rPr>
          <w:rFonts w:hint="eastAsia" w:eastAsia="宋体" w:cs="Times New Roman"/>
          <w:highlight w:val="none"/>
          <w:lang w:val="en-US" w:eastAsia="zh-CN"/>
        </w:rPr>
      </w:pPr>
      <w:r>
        <w:rPr>
          <w:rFonts w:hint="eastAsia" w:cs="Times New Roman"/>
          <w:highlight w:val="none"/>
          <w:lang w:val="en-US" w:eastAsia="zh-CN"/>
        </w:rPr>
        <w:t>土壤：评价区土壤质量基本保持自然背景值水平，能达到国家《土壤环境质量标准》（GB15618-1995）</w:t>
      </w:r>
      <w:r>
        <w:rPr>
          <w:rFonts w:cs="Times New Roman"/>
          <w:highlight w:val="none"/>
        </w:rPr>
        <w:fldChar w:fldCharType="begin"/>
      </w:r>
      <w:r>
        <w:rPr>
          <w:rFonts w:cs="Times New Roman"/>
          <w:highlight w:val="none"/>
        </w:rPr>
        <w:instrText xml:space="preserve"> = 1 \* ROMAN </w:instrText>
      </w:r>
      <w:r>
        <w:rPr>
          <w:rFonts w:cs="Times New Roman"/>
          <w:highlight w:val="none"/>
        </w:rPr>
        <w:fldChar w:fldCharType="separate"/>
      </w:r>
      <w:r>
        <w:rPr>
          <w:rFonts w:cs="Times New Roman"/>
          <w:highlight w:val="none"/>
        </w:rPr>
        <w:t>I</w:t>
      </w:r>
      <w:r>
        <w:rPr>
          <w:rFonts w:cs="Times New Roman"/>
          <w:highlight w:val="none"/>
        </w:rPr>
        <w:fldChar w:fldCharType="end"/>
      </w:r>
      <w:r>
        <w:rPr>
          <w:rFonts w:hint="eastAsia" w:cs="Times New Roman"/>
          <w:highlight w:val="none"/>
          <w:lang w:val="en-US" w:eastAsia="zh-CN"/>
        </w:rPr>
        <w:t>类标准。</w:t>
      </w:r>
    </w:p>
    <w:p>
      <w:pPr>
        <w:pStyle w:val="6"/>
        <w:numPr>
          <w:ilvl w:val="0"/>
          <w:numId w:val="0"/>
        </w:numPr>
      </w:pPr>
      <w:r>
        <w:t>4.5.1.2</w:t>
      </w:r>
      <w:r>
        <w:rPr>
          <w:rFonts w:hint="eastAsia"/>
          <w:lang w:val="en-US" w:eastAsia="zh-CN"/>
        </w:rPr>
        <w:t xml:space="preserve"> </w:t>
      </w:r>
      <w:r>
        <w:t>野生植物现状</w:t>
      </w:r>
    </w:p>
    <w:p>
      <w:pPr>
        <w:pStyle w:val="8"/>
        <w:numPr>
          <w:ilvl w:val="4"/>
          <w:numId w:val="0"/>
        </w:numPr>
        <w:ind w:leftChars="0"/>
        <w:rPr>
          <w:rFonts w:cs="Times New Roman"/>
        </w:rPr>
      </w:pPr>
      <w:r>
        <w:rPr>
          <w:rFonts w:hint="eastAsia" w:cs="Times New Roman"/>
          <w:lang w:val="en-US" w:eastAsia="zh-CN"/>
        </w:rPr>
        <w:t>4.5.1.2.1</w:t>
      </w:r>
      <w:r>
        <w:rPr>
          <w:rFonts w:cs="Times New Roman"/>
        </w:rPr>
        <w:t>植被</w:t>
      </w:r>
    </w:p>
    <w:p>
      <w:pPr>
        <w:ind w:firstLine="482"/>
        <w:rPr>
          <w:rFonts w:cs="Times New Roman"/>
          <w:b/>
          <w:highlight w:val="none"/>
        </w:rPr>
      </w:pPr>
      <w:r>
        <w:rPr>
          <w:rFonts w:cs="Times New Roman"/>
          <w:b/>
          <w:highlight w:val="none"/>
        </w:rPr>
        <w:t>（一）植被概况</w:t>
      </w:r>
    </w:p>
    <w:p>
      <w:pPr>
        <w:ind w:firstLine="480"/>
        <w:rPr>
          <w:rFonts w:cs="Times New Roman"/>
          <w:highlight w:val="none"/>
        </w:rPr>
      </w:pPr>
      <w:r>
        <w:rPr>
          <w:rFonts w:hint="eastAsia" w:cs="Times New Roman"/>
          <w:highlight w:val="none"/>
        </w:rPr>
        <w:t>根据《四川植被》分区原则，评价区位于“川西北高原灌丛、草甸地带——川西北高原亚高山灌丛、草甸亚带——若尔盖高原植被地区——阿、若、红植被小区”。评价区内及周边的自然植被组合单纯，评价区的植被主要有灌丛、草甸和沼泽植被等类型。</w:t>
      </w:r>
    </w:p>
    <w:p>
      <w:pPr>
        <w:ind w:firstLine="482"/>
        <w:rPr>
          <w:rFonts w:cs="Times New Roman"/>
          <w:b/>
          <w:highlight w:val="none"/>
        </w:rPr>
      </w:pPr>
      <w:r>
        <w:rPr>
          <w:rFonts w:cs="Times New Roman"/>
          <w:b/>
          <w:highlight w:val="none"/>
        </w:rPr>
        <w:t>（二）植被分类系统及群落描述</w:t>
      </w:r>
    </w:p>
    <w:p>
      <w:pPr>
        <w:adjustRightInd w:val="0"/>
        <w:snapToGrid w:val="0"/>
        <w:ind w:firstLine="480"/>
        <w:rPr>
          <w:rFonts w:cs="Times New Roman"/>
        </w:rPr>
      </w:pPr>
      <w:r>
        <w:rPr>
          <w:rFonts w:cs="Times New Roman"/>
        </w:rPr>
        <w:t>由于评价区段的湿地公园范围群落结构较为简单。根据《中国植被》的分类系统，可以将评价区的自然植被</w:t>
      </w:r>
      <w:r>
        <w:rPr>
          <w:rFonts w:cs="Times New Roman"/>
          <w:bCs/>
        </w:rPr>
        <w:t>划分成</w:t>
      </w:r>
      <w:r>
        <w:rPr>
          <w:rFonts w:hint="eastAsia" w:cs="Times New Roman"/>
          <w:bCs/>
          <w:lang w:val="en-US" w:eastAsia="zh-CN"/>
        </w:rPr>
        <w:t>2</w:t>
      </w:r>
      <w:r>
        <w:rPr>
          <w:rFonts w:cs="Times New Roman"/>
          <w:bCs/>
        </w:rPr>
        <w:t>个植被型</w:t>
      </w:r>
      <w:r>
        <w:rPr>
          <w:rFonts w:cs="Times New Roman"/>
        </w:rPr>
        <w:t>和</w:t>
      </w:r>
      <w:r>
        <w:rPr>
          <w:rFonts w:hint="eastAsia" w:cs="Times New Roman"/>
          <w:lang w:val="en-US" w:eastAsia="zh-CN"/>
        </w:rPr>
        <w:t>9</w:t>
      </w:r>
      <w:r>
        <w:rPr>
          <w:rFonts w:cs="Times New Roman"/>
        </w:rPr>
        <w:t>个群系。植被类型组成如下：</w:t>
      </w:r>
    </w:p>
    <w:p>
      <w:pPr>
        <w:spacing w:line="360" w:lineRule="auto"/>
        <w:ind w:firstLine="480" w:firstLineChars="200"/>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rPr>
        <w:t>Ⅰ.灌丛</w:t>
      </w:r>
    </w:p>
    <w:p>
      <w:pPr>
        <w:spacing w:line="360" w:lineRule="auto"/>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 xml:space="preserve">               一、 高山灌丛</w:t>
      </w:r>
    </w:p>
    <w:p>
      <w:pPr>
        <w:spacing w:line="360" w:lineRule="auto"/>
        <w:ind w:firstLine="3240" w:firstLineChars="1350"/>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(一)  常绿阔叶灌丛</w:t>
      </w:r>
    </w:p>
    <w:p>
      <w:pPr>
        <w:spacing w:line="360" w:lineRule="auto"/>
        <w:ind w:firstLine="3600" w:firstLineChars="1500"/>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1.青海杜鹃灌丛</w:t>
      </w:r>
    </w:p>
    <w:p>
      <w:pPr>
        <w:spacing w:line="360" w:lineRule="auto"/>
        <w:ind w:firstLine="3600" w:firstLineChars="1500"/>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2.紫丁杜鹃灌丛</w:t>
      </w:r>
    </w:p>
    <w:p>
      <w:pPr>
        <w:tabs>
          <w:tab w:val="left" w:pos="1080"/>
          <w:tab w:val="left" w:pos="1800"/>
        </w:tabs>
        <w:spacing w:line="360" w:lineRule="auto"/>
        <w:ind w:firstLine="2752" w:firstLineChars="1147"/>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 xml:space="preserve">  </w:t>
      </w:r>
      <w:r>
        <w:rPr>
          <w:rFonts w:hint="eastAsia" w:cs="Times New Roman"/>
          <w:bCs/>
          <w:sz w:val="24"/>
          <w:szCs w:val="24"/>
          <w:highlight w:val="none"/>
          <w:lang w:val="en-US" w:eastAsia="zh-CN"/>
        </w:rPr>
        <w:t xml:space="preserve"> </w:t>
      </w:r>
      <w:r>
        <w:rPr>
          <w:rFonts w:hint="default" w:ascii="Times New Roman" w:hAnsi="Times New Roman" w:eastAsia="宋体" w:cs="Times New Roman"/>
          <w:bCs/>
          <w:sz w:val="24"/>
          <w:szCs w:val="24"/>
          <w:highlight w:val="none"/>
        </w:rPr>
        <w:t xml:space="preserve"> (二)  落叶灌丛</w:t>
      </w:r>
    </w:p>
    <w:p>
      <w:pPr>
        <w:tabs>
          <w:tab w:val="left" w:pos="1080"/>
          <w:tab w:val="left" w:pos="1800"/>
        </w:tabs>
        <w:spacing w:line="360" w:lineRule="auto"/>
        <w:ind w:firstLine="1815"/>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 xml:space="preserve">                </w:t>
      </w:r>
      <w:r>
        <w:rPr>
          <w:rFonts w:hint="eastAsia" w:cs="Times New Roman"/>
          <w:bCs/>
          <w:sz w:val="24"/>
          <w:szCs w:val="24"/>
          <w:highlight w:val="none"/>
          <w:lang w:val="en-US" w:eastAsia="zh-CN"/>
        </w:rPr>
        <w:t xml:space="preserve">         </w:t>
      </w:r>
      <w:r>
        <w:rPr>
          <w:rFonts w:hint="default" w:ascii="Times New Roman" w:hAnsi="Times New Roman" w:eastAsia="宋体" w:cs="Times New Roman"/>
          <w:bCs/>
          <w:sz w:val="24"/>
          <w:szCs w:val="24"/>
          <w:highlight w:val="none"/>
        </w:rPr>
        <w:t xml:space="preserve"> 3.柳灌丛</w:t>
      </w:r>
    </w:p>
    <w:p>
      <w:pPr>
        <w:tabs>
          <w:tab w:val="left" w:pos="1080"/>
          <w:tab w:val="left" w:pos="1800"/>
        </w:tabs>
        <w:spacing w:line="360" w:lineRule="auto"/>
        <w:ind w:firstLine="3600" w:firstLineChars="1500"/>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4.窄叶鲜卑花灌丛</w:t>
      </w:r>
    </w:p>
    <w:p>
      <w:pPr>
        <w:tabs>
          <w:tab w:val="left" w:pos="1080"/>
          <w:tab w:val="left" w:pos="1800"/>
        </w:tabs>
        <w:spacing w:line="360" w:lineRule="auto"/>
        <w:ind w:firstLine="1815"/>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 xml:space="preserve">                </w:t>
      </w:r>
      <w:r>
        <w:rPr>
          <w:rFonts w:hint="eastAsia" w:cs="Times New Roman"/>
          <w:bCs/>
          <w:sz w:val="24"/>
          <w:szCs w:val="24"/>
          <w:highlight w:val="none"/>
          <w:lang w:val="en-US" w:eastAsia="zh-CN"/>
        </w:rPr>
        <w:t xml:space="preserve">         </w:t>
      </w:r>
      <w:r>
        <w:rPr>
          <w:rFonts w:hint="default" w:ascii="Times New Roman" w:hAnsi="Times New Roman" w:eastAsia="宋体" w:cs="Times New Roman"/>
          <w:bCs/>
          <w:sz w:val="24"/>
          <w:szCs w:val="24"/>
          <w:highlight w:val="none"/>
        </w:rPr>
        <w:t xml:space="preserve"> 5.金露梅灌丛</w:t>
      </w:r>
    </w:p>
    <w:p>
      <w:pPr>
        <w:tabs>
          <w:tab w:val="left" w:pos="1080"/>
          <w:tab w:val="left" w:pos="1800"/>
        </w:tabs>
        <w:spacing w:line="360" w:lineRule="auto"/>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sz w:val="24"/>
          <w:szCs w:val="24"/>
          <w:highlight w:val="none"/>
        </w:rPr>
        <w:t xml:space="preserve">  </w:t>
      </w:r>
      <w:r>
        <w:rPr>
          <w:rFonts w:hint="default" w:ascii="Times New Roman" w:hAnsi="Times New Roman" w:eastAsia="宋体" w:cs="Times New Roman"/>
          <w:b/>
          <w:bCs/>
          <w:sz w:val="24"/>
          <w:szCs w:val="24"/>
          <w:highlight w:val="none"/>
        </w:rPr>
        <w:t xml:space="preserve"> Ⅱ.草甸</w:t>
      </w:r>
    </w:p>
    <w:p>
      <w:pPr>
        <w:spacing w:line="360" w:lineRule="auto"/>
        <w:ind w:firstLine="1920" w:firstLineChars="800"/>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二、高山草甸</w:t>
      </w:r>
    </w:p>
    <w:p>
      <w:pPr>
        <w:spacing w:line="360" w:lineRule="auto"/>
        <w:ind w:firstLine="3360" w:firstLineChars="1400"/>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(三)</w:t>
      </w:r>
      <w:r>
        <w:rPr>
          <w:rFonts w:hint="eastAsia" w:cs="Times New Roman"/>
          <w:bCs/>
          <w:sz w:val="24"/>
          <w:szCs w:val="24"/>
          <w:highlight w:val="none"/>
          <w:lang w:val="en-US" w:eastAsia="zh-CN"/>
        </w:rPr>
        <w:t xml:space="preserve"> </w:t>
      </w:r>
      <w:r>
        <w:rPr>
          <w:rFonts w:hint="default" w:ascii="Times New Roman" w:hAnsi="Times New Roman" w:eastAsia="宋体" w:cs="Times New Roman"/>
          <w:bCs/>
          <w:sz w:val="24"/>
          <w:szCs w:val="24"/>
          <w:highlight w:val="none"/>
        </w:rPr>
        <w:t xml:space="preserve"> 杂草草甸</w:t>
      </w:r>
    </w:p>
    <w:p>
      <w:pPr>
        <w:spacing w:line="360" w:lineRule="auto"/>
        <w:ind w:left="2250"/>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 xml:space="preserve">     </w:t>
      </w:r>
      <w:r>
        <w:rPr>
          <w:rFonts w:hint="eastAsia" w:cs="Times New Roman"/>
          <w:bCs/>
          <w:sz w:val="24"/>
          <w:szCs w:val="24"/>
          <w:highlight w:val="none"/>
          <w:lang w:val="en-US" w:eastAsia="zh-CN"/>
        </w:rPr>
        <w:t xml:space="preserve">   </w:t>
      </w:r>
      <w:r>
        <w:rPr>
          <w:rFonts w:hint="default" w:ascii="Times New Roman" w:hAnsi="Times New Roman" w:eastAsia="宋体" w:cs="Times New Roman"/>
          <w:bCs/>
          <w:sz w:val="24"/>
          <w:szCs w:val="24"/>
          <w:highlight w:val="none"/>
        </w:rPr>
        <w:t>6</w:t>
      </w:r>
      <w:r>
        <w:rPr>
          <w:rFonts w:hint="eastAsia" w:cs="Times New Roman"/>
          <w:bCs/>
          <w:sz w:val="24"/>
          <w:szCs w:val="24"/>
          <w:highlight w:val="none"/>
          <w:lang w:val="en-US" w:eastAsia="zh-CN"/>
        </w:rPr>
        <w:t>.</w:t>
      </w:r>
      <w:r>
        <w:rPr>
          <w:rFonts w:hint="default" w:ascii="Times New Roman" w:hAnsi="Times New Roman" w:eastAsia="宋体" w:cs="Times New Roman"/>
          <w:bCs/>
          <w:sz w:val="24"/>
          <w:szCs w:val="24"/>
          <w:highlight w:val="none"/>
        </w:rPr>
        <w:t>珠芽蓼、园穗蓼草甸</w:t>
      </w:r>
    </w:p>
    <w:p>
      <w:pPr>
        <w:spacing w:line="360" w:lineRule="auto"/>
        <w:ind w:left="2250" w:firstLine="960" w:firstLineChars="400"/>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 xml:space="preserve">  (四) </w:t>
      </w:r>
      <w:r>
        <w:rPr>
          <w:rFonts w:hint="eastAsia" w:cs="Times New Roman"/>
          <w:bCs/>
          <w:sz w:val="24"/>
          <w:szCs w:val="24"/>
          <w:highlight w:val="none"/>
          <w:lang w:val="en-US" w:eastAsia="zh-CN"/>
        </w:rPr>
        <w:t xml:space="preserve"> </w:t>
      </w:r>
      <w:r>
        <w:rPr>
          <w:rFonts w:hint="default" w:ascii="Times New Roman" w:hAnsi="Times New Roman" w:eastAsia="宋体" w:cs="Times New Roman"/>
          <w:bCs/>
          <w:sz w:val="24"/>
          <w:szCs w:val="24"/>
          <w:highlight w:val="none"/>
        </w:rPr>
        <w:t>莎草草甸</w:t>
      </w:r>
    </w:p>
    <w:p>
      <w:pPr>
        <w:spacing w:line="360" w:lineRule="auto"/>
        <w:ind w:left="2250"/>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 xml:space="preserve">        7.嵩草草甸</w:t>
      </w:r>
    </w:p>
    <w:p>
      <w:pPr>
        <w:spacing w:line="360" w:lineRule="auto"/>
        <w:ind w:firstLine="1920" w:firstLineChars="800"/>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三、 沼泽草甸</w:t>
      </w:r>
    </w:p>
    <w:p>
      <w:pPr>
        <w:spacing w:line="360" w:lineRule="auto"/>
        <w:ind w:firstLine="3480" w:firstLineChars="1450"/>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(五) 沙草沼泽草甸</w:t>
      </w:r>
    </w:p>
    <w:p>
      <w:pPr>
        <w:spacing w:line="360" w:lineRule="auto"/>
        <w:ind w:left="1830" w:firstLine="630"/>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 xml:space="preserve">          </w:t>
      </w:r>
      <w:r>
        <w:rPr>
          <w:rFonts w:hint="eastAsia" w:cs="Times New Roman"/>
          <w:bCs/>
          <w:sz w:val="24"/>
          <w:szCs w:val="24"/>
          <w:highlight w:val="none"/>
          <w:lang w:val="en-US" w:eastAsia="zh-CN"/>
        </w:rPr>
        <w:t xml:space="preserve"> </w:t>
      </w:r>
      <w:r>
        <w:rPr>
          <w:rFonts w:hint="default" w:ascii="Times New Roman" w:hAnsi="Times New Roman" w:eastAsia="宋体" w:cs="Times New Roman"/>
          <w:bCs/>
          <w:sz w:val="24"/>
          <w:szCs w:val="24"/>
          <w:highlight w:val="none"/>
        </w:rPr>
        <w:t xml:space="preserve"> 8.木里苔草、发草沼泽草甸</w:t>
      </w:r>
    </w:p>
    <w:p>
      <w:pPr>
        <w:ind w:firstLine="482"/>
        <w:rPr>
          <w:rFonts w:hint="default" w:ascii="Times New Roman" w:hAnsi="Times New Roman" w:eastAsia="宋体" w:cs="Times New Roman"/>
          <w:sz w:val="24"/>
          <w:szCs w:val="24"/>
          <w:highlight w:val="none"/>
        </w:rPr>
      </w:pPr>
      <w:r>
        <w:rPr>
          <w:rFonts w:hint="default" w:ascii="Times New Roman" w:hAnsi="Times New Roman" w:eastAsia="宋体" w:cs="Times New Roman"/>
          <w:bCs/>
          <w:sz w:val="24"/>
          <w:szCs w:val="24"/>
          <w:highlight w:val="none"/>
        </w:rPr>
        <w:t xml:space="preserve">         </w:t>
      </w:r>
      <w:r>
        <w:rPr>
          <w:rFonts w:hint="eastAsia" w:cs="Times New Roman"/>
          <w:bCs/>
          <w:sz w:val="24"/>
          <w:szCs w:val="24"/>
          <w:highlight w:val="none"/>
          <w:lang w:val="en-US" w:eastAsia="zh-CN"/>
        </w:rPr>
        <w:t xml:space="preserve">                </w:t>
      </w:r>
      <w:r>
        <w:rPr>
          <w:rFonts w:hint="default" w:ascii="Times New Roman" w:hAnsi="Times New Roman" w:eastAsia="宋体" w:cs="Times New Roman"/>
          <w:bCs/>
          <w:sz w:val="24"/>
          <w:szCs w:val="24"/>
          <w:highlight w:val="none"/>
        </w:rPr>
        <w:t xml:space="preserve">  9.苔草沼泽草甸</w:t>
      </w:r>
      <w:r>
        <w:rPr>
          <w:rFonts w:hint="default" w:ascii="Times New Roman" w:hAnsi="Times New Roman" w:eastAsia="宋体" w:cs="Times New Roman"/>
          <w:sz w:val="24"/>
          <w:szCs w:val="24"/>
          <w:highlight w:val="none"/>
        </w:rPr>
        <w:t xml:space="preserve"> </w:t>
      </w:r>
    </w:p>
    <w:p>
      <w:pPr>
        <w:ind w:firstLine="482"/>
        <w:rPr>
          <w:rFonts w:cs="Times New Roman"/>
          <w:b/>
          <w:bCs/>
        </w:rPr>
      </w:pPr>
      <w:r>
        <w:rPr>
          <w:rFonts w:cs="Times New Roman"/>
          <w:b/>
          <w:bCs/>
        </w:rPr>
        <w:t>（</w:t>
      </w:r>
      <w:r>
        <w:rPr>
          <w:rFonts w:hint="eastAsia" w:cs="Times New Roman"/>
          <w:b/>
          <w:bCs/>
          <w:lang w:val="en-US" w:eastAsia="zh-CN"/>
        </w:rPr>
        <w:t>三</w:t>
      </w:r>
      <w:r>
        <w:rPr>
          <w:rFonts w:cs="Times New Roman"/>
          <w:b/>
          <w:bCs/>
        </w:rPr>
        <w:t>）植被群落结构特征及分布</w:t>
      </w:r>
    </w:p>
    <w:p>
      <w:pPr>
        <w:ind w:firstLine="482"/>
        <w:rPr>
          <w:b/>
          <w:szCs w:val="24"/>
        </w:rPr>
      </w:pPr>
      <w:r>
        <w:rPr>
          <w:b/>
          <w:szCs w:val="24"/>
        </w:rPr>
        <w:t>1）青海杜鹃灌丛</w:t>
      </w:r>
    </w:p>
    <w:p>
      <w:pPr>
        <w:pStyle w:val="22"/>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青海杜鹃灌丛主要分布于湿地公园内</w:t>
      </w:r>
      <w:r>
        <w:rPr>
          <w:rFonts w:hint="eastAsia" w:ascii="Times New Roman" w:hAnsi="Times New Roman" w:cs="Times New Roman"/>
          <w:sz w:val="24"/>
          <w:szCs w:val="24"/>
        </w:rPr>
        <w:t>海拔</w:t>
      </w:r>
      <w:r>
        <w:rPr>
          <w:rFonts w:ascii="Times New Roman" w:hAnsi="Times New Roman" w:cs="Times New Roman"/>
          <w:sz w:val="24"/>
          <w:szCs w:val="24"/>
        </w:rPr>
        <w:t>3600 ~ 4500m</w:t>
      </w:r>
      <w:r>
        <w:rPr>
          <w:rFonts w:hint="eastAsia" w:ascii="Times New Roman" w:hAnsi="Times New Roman" w:cs="Times New Roman"/>
          <w:sz w:val="24"/>
          <w:szCs w:val="24"/>
        </w:rPr>
        <w:t>间的</w:t>
      </w:r>
      <w:r>
        <w:rPr>
          <w:rFonts w:ascii="Times New Roman" w:hAnsi="Times New Roman" w:cs="Times New Roman"/>
          <w:sz w:val="24"/>
          <w:szCs w:val="24"/>
        </w:rPr>
        <w:t>阴坡。灌丛生境寒冷、阴湿、多雾。青海杜鹃灌丛为大型灌丛类型，密集丛生，外貌深褐色，整齐。灌丛盖度90%左右，丛高2~4m。伴生种有柳、樱草杜鹃、金露梅、高山绣线菊、窄叶鲜卑花等。草本植物种类少，生长稀疏，盖度15~20%。主要种类有苔草、东方草莓、红景天、圆穗蓼</w:t>
      </w:r>
      <w:r>
        <w:rPr>
          <w:rFonts w:hint="eastAsia" w:ascii="Times New Roman" w:hAnsi="Times New Roman" w:cs="Times New Roman"/>
          <w:i/>
          <w:iCs/>
          <w:sz w:val="24"/>
          <w:szCs w:val="24"/>
          <w:lang w:eastAsia="zh-CN"/>
        </w:rPr>
        <w:t>、</w:t>
      </w:r>
      <w:r>
        <w:rPr>
          <w:rFonts w:ascii="Times New Roman" w:hAnsi="Times New Roman" w:cs="Times New Roman"/>
          <w:sz w:val="24"/>
          <w:szCs w:val="24"/>
        </w:rPr>
        <w:t>珠芽蓼等。</w:t>
      </w:r>
    </w:p>
    <w:p>
      <w:pPr>
        <w:ind w:firstLine="482"/>
        <w:rPr>
          <w:b/>
          <w:szCs w:val="24"/>
        </w:rPr>
      </w:pPr>
      <w:r>
        <w:rPr>
          <w:b/>
          <w:szCs w:val="24"/>
        </w:rPr>
        <w:t>2）紫丁杜鹃灌丛</w:t>
      </w:r>
    </w:p>
    <w:p>
      <w:pPr>
        <w:pStyle w:val="22"/>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紫丁杜鹃灌丛在湿地公园内大面积分布于阴坡和谷底阶地。该灌丛低矮密集，盖度60％左右，最大可达90％，平均高约0.5</w:t>
      </w:r>
      <w:r>
        <w:rPr>
          <w:rFonts w:hint="eastAsia" w:ascii="Times New Roman" w:hAnsi="Times New Roman" w:cs="Times New Roman"/>
          <w:sz w:val="24"/>
          <w:szCs w:val="24"/>
        </w:rPr>
        <w:t>m</w:t>
      </w:r>
      <w:r>
        <w:rPr>
          <w:rFonts w:ascii="Times New Roman" w:hAnsi="Times New Roman" w:cs="Times New Roman"/>
          <w:sz w:val="24"/>
          <w:szCs w:val="24"/>
        </w:rPr>
        <w:t>，最高约1</w:t>
      </w:r>
      <w:r>
        <w:rPr>
          <w:rFonts w:hint="eastAsia" w:ascii="Times New Roman" w:hAnsi="Times New Roman" w:cs="Times New Roman"/>
          <w:sz w:val="24"/>
          <w:szCs w:val="24"/>
        </w:rPr>
        <w:t>m</w:t>
      </w:r>
      <w:r>
        <w:rPr>
          <w:rFonts w:ascii="Times New Roman" w:hAnsi="Times New Roman" w:cs="Times New Roman"/>
          <w:sz w:val="24"/>
          <w:szCs w:val="24"/>
        </w:rPr>
        <w:t>。优势种为紫丁杜鹃。常见灌木还有柳、金露梅、高山绣线菊、光亮杜鹃等。草本植物生长于灌丛的间隙，盖度较大的种类有早熟禾、珠芽蓼、圆穗蓼等，其</w:t>
      </w:r>
      <w:r>
        <w:rPr>
          <w:rFonts w:hint="eastAsia" w:ascii="Times New Roman" w:hAnsi="Times New Roman" w:cs="Times New Roman"/>
          <w:sz w:val="24"/>
          <w:szCs w:val="24"/>
        </w:rPr>
        <w:t>它</w:t>
      </w:r>
      <w:r>
        <w:rPr>
          <w:rFonts w:ascii="Times New Roman" w:hAnsi="Times New Roman" w:cs="Times New Roman"/>
          <w:sz w:val="24"/>
          <w:szCs w:val="24"/>
        </w:rPr>
        <w:t>常见种类还有老鹳草、全缘绿绒蒿</w:t>
      </w:r>
      <w:r>
        <w:rPr>
          <w:rFonts w:ascii="Times New Roman" w:hAnsi="Times New Roman" w:cs="Times New Roman"/>
          <w:i/>
          <w:iCs/>
          <w:sz w:val="24"/>
          <w:szCs w:val="24"/>
        </w:rPr>
        <w:t>、</w:t>
      </w:r>
      <w:r>
        <w:rPr>
          <w:rFonts w:ascii="Times New Roman" w:hAnsi="Times New Roman" w:cs="Times New Roman"/>
          <w:sz w:val="24"/>
          <w:szCs w:val="24"/>
        </w:rPr>
        <w:t>红花绿绒蒿、曲花紫堇、马先蒿、</w:t>
      </w:r>
      <w:r>
        <w:rPr>
          <w:rFonts w:ascii="Times New Roman" w:hAnsi="Times New Roman" w:cs="Times New Roman"/>
          <w:i/>
          <w:iCs/>
          <w:sz w:val="24"/>
          <w:szCs w:val="24"/>
        </w:rPr>
        <w:t xml:space="preserve"> </w:t>
      </w:r>
      <w:r>
        <w:rPr>
          <w:rFonts w:ascii="Times New Roman" w:hAnsi="Times New Roman" w:cs="Times New Roman"/>
          <w:sz w:val="24"/>
          <w:szCs w:val="24"/>
        </w:rPr>
        <w:t>甘肃贝母</w:t>
      </w:r>
      <w:r>
        <w:rPr>
          <w:rFonts w:hint="eastAsia" w:ascii="Times New Roman" w:hAnsi="Times New Roman" w:cs="Times New Roman"/>
          <w:sz w:val="24"/>
          <w:szCs w:val="24"/>
        </w:rPr>
        <w:t>和</w:t>
      </w:r>
      <w:r>
        <w:rPr>
          <w:rFonts w:ascii="Times New Roman" w:hAnsi="Times New Roman" w:cs="Times New Roman"/>
          <w:sz w:val="24"/>
          <w:szCs w:val="24"/>
        </w:rPr>
        <w:t>报春等。</w:t>
      </w:r>
    </w:p>
    <w:p>
      <w:pPr>
        <w:ind w:firstLine="482"/>
        <w:rPr>
          <w:b/>
          <w:szCs w:val="24"/>
        </w:rPr>
      </w:pPr>
      <w:r>
        <w:rPr>
          <w:b/>
          <w:szCs w:val="24"/>
        </w:rPr>
        <w:t>3）柳灌丛</w:t>
      </w:r>
    </w:p>
    <w:p>
      <w:pPr>
        <w:pStyle w:val="22"/>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柳灌丛在湿地公园内分布广泛，常于溪边滩地形成大片或带状灌木林。群落外貌夏季呈绿色，丛冠参差不齐。灌丛总盖度50~70%。柳为建群种，株高0.5~3m，伴生种有窄叶鲜卑花、高山绣线菊、金露梅等。草本层植物盖度40~60%，常见有嵩草、苔草、早熟禾、长茎毛茛、高原毛茛、水葫芦苗、鹅绒委陵菜、圆穗蓼、珠芽蓼、花葶驴蹄草、全缘绿绒蒿、橐吾 、垂头菊、报春等。</w:t>
      </w:r>
    </w:p>
    <w:p>
      <w:pPr>
        <w:ind w:firstLine="482"/>
        <w:rPr>
          <w:b/>
          <w:szCs w:val="24"/>
        </w:rPr>
      </w:pPr>
      <w:r>
        <w:rPr>
          <w:b/>
          <w:szCs w:val="24"/>
        </w:rPr>
        <w:t>4）窄叶鲜卑花灌丛</w:t>
      </w:r>
    </w:p>
    <w:p>
      <w:pPr>
        <w:pStyle w:val="22"/>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窄叶鲜卑花灌丛分布于湿地公园内</w:t>
      </w:r>
      <w:r>
        <w:rPr>
          <w:rFonts w:hint="eastAsia" w:ascii="Times New Roman" w:hAnsi="Times New Roman" w:cs="Times New Roman"/>
          <w:sz w:val="24"/>
          <w:szCs w:val="24"/>
        </w:rPr>
        <w:t>的</w:t>
      </w:r>
      <w:r>
        <w:rPr>
          <w:rFonts w:ascii="Times New Roman" w:hAnsi="Times New Roman" w:cs="Times New Roman"/>
          <w:sz w:val="24"/>
          <w:szCs w:val="24"/>
        </w:rPr>
        <w:t>阳坡和谷底阶地。群落外貌呈绿色。窄叶鲜卑花为灌木层的建群种，盖度20 ~ 40％左右，高1 ~ 1.5</w:t>
      </w:r>
      <w:r>
        <w:rPr>
          <w:rFonts w:hint="eastAsia" w:ascii="Times New Roman" w:hAnsi="Times New Roman" w:cs="Times New Roman"/>
          <w:sz w:val="24"/>
          <w:szCs w:val="24"/>
        </w:rPr>
        <w:t>m</w:t>
      </w:r>
      <w:r>
        <w:rPr>
          <w:rFonts w:ascii="Times New Roman" w:hAnsi="Times New Roman" w:cs="Times New Roman"/>
          <w:sz w:val="24"/>
          <w:szCs w:val="24"/>
        </w:rPr>
        <w:t>。灌木层中还能见到柳、绣线菊、近似小檗、陇塞忍冬、锦鸡儿等。草本植物种类多，盖度在30％以上，优势种不明显。能形成较大盖度的有嵩草、椭圆叶花锚、多种马先蒿、多种龙胆、珠芽蓼、星状风毛菊、甘西鼠尾草、甘肃贝母等。</w:t>
      </w:r>
    </w:p>
    <w:p>
      <w:pPr>
        <w:ind w:firstLine="482"/>
        <w:rPr>
          <w:b/>
          <w:szCs w:val="24"/>
        </w:rPr>
      </w:pPr>
      <w:r>
        <w:rPr>
          <w:b/>
          <w:szCs w:val="24"/>
        </w:rPr>
        <w:t>5）金露梅灌丛</w:t>
      </w:r>
    </w:p>
    <w:p>
      <w:pPr>
        <w:pStyle w:val="22"/>
        <w:spacing w:line="360" w:lineRule="auto"/>
        <w:ind w:firstLine="480" w:firstLineChars="200"/>
        <w:rPr>
          <w:rFonts w:ascii="Times New Roman" w:hAnsi="Times New Roman" w:cs="Times New Roman"/>
          <w:sz w:val="28"/>
        </w:rPr>
      </w:pPr>
      <w:r>
        <w:rPr>
          <w:rFonts w:ascii="Times New Roman" w:hAnsi="Times New Roman" w:cs="Times New Roman"/>
          <w:sz w:val="24"/>
          <w:szCs w:val="24"/>
        </w:rPr>
        <w:t>金露梅灌丛在湿地公园内分布于宽谷下部。群落外貌呈绿色或深绿色，矮小且成团状，丛高常在60</w:t>
      </w:r>
      <w:r>
        <w:rPr>
          <w:rFonts w:hint="eastAsia" w:ascii="Times New Roman" w:hAnsi="Times New Roman" w:cs="Times New Roman"/>
          <w:sz w:val="24"/>
          <w:szCs w:val="24"/>
        </w:rPr>
        <w:t>cm</w:t>
      </w:r>
      <w:r>
        <w:rPr>
          <w:rFonts w:ascii="Times New Roman" w:hAnsi="Times New Roman" w:cs="Times New Roman"/>
          <w:sz w:val="24"/>
          <w:szCs w:val="24"/>
        </w:rPr>
        <w:t>以下，绣线菊的枝条常高出丛冠之上。金露梅、绣线菊为灌木层的优势种。金露梅的优势度稍大，盖度可达30%左右，高30 ~ 40</w:t>
      </w:r>
      <w:r>
        <w:rPr>
          <w:rFonts w:hint="eastAsia" w:ascii="Times New Roman" w:hAnsi="Times New Roman" w:cs="Times New Roman"/>
          <w:sz w:val="24"/>
          <w:szCs w:val="24"/>
        </w:rPr>
        <w:t>cm</w:t>
      </w:r>
      <w:r>
        <w:rPr>
          <w:rFonts w:ascii="Times New Roman" w:hAnsi="Times New Roman" w:cs="Times New Roman"/>
          <w:sz w:val="24"/>
          <w:szCs w:val="24"/>
        </w:rPr>
        <w:t>。常见的灌木还有柳、窄叶鲜卑花、锦鸡儿、紫丁杜鹃等。草本植物种类丰富，盖度在50%以上，但优势种多不明显。常见的有蒿草、羊茅、珠芽蓼、早熟禾、高原毛茛、萎陵菜、禾叶凤毛菊、高山唐松草、马先蒿、红花绿绒蒿、全缘绿绒蒿等。</w:t>
      </w:r>
    </w:p>
    <w:p>
      <w:pPr>
        <w:ind w:firstLine="482"/>
        <w:rPr>
          <w:b/>
          <w:szCs w:val="24"/>
        </w:rPr>
      </w:pPr>
      <w:r>
        <w:rPr>
          <w:b/>
          <w:szCs w:val="24"/>
        </w:rPr>
        <w:t>6）珠芽蓼、园穗蓼草甸</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珠芽蓼、圆穗蓼草甸在湿地公园内分布于缓坡、宽谷、阶地。群落外貌富于季相变化，花期呈现一片五彩缤纷的景观。草</w:t>
      </w:r>
      <w:r>
        <w:rPr>
          <w:rFonts w:hint="eastAsia" w:ascii="Times New Roman" w:hAnsi="Times New Roman" w:cs="Times New Roman"/>
          <w:sz w:val="24"/>
          <w:szCs w:val="24"/>
        </w:rPr>
        <w:t>本</w:t>
      </w:r>
      <w:r>
        <w:rPr>
          <w:rFonts w:ascii="Times New Roman" w:hAnsi="Times New Roman" w:cs="Times New Roman"/>
          <w:sz w:val="24"/>
          <w:szCs w:val="24"/>
        </w:rPr>
        <w:t>层参差不齐，草本种类丰富，总盖度在90％以上，其中珠芽蓼和圆穗蓼的盖度10~30％左右，高10~ 25</w:t>
      </w:r>
      <w:r>
        <w:rPr>
          <w:rFonts w:hint="eastAsia" w:ascii="Times New Roman" w:hAnsi="Times New Roman" w:cs="Times New Roman"/>
          <w:sz w:val="24"/>
          <w:szCs w:val="24"/>
        </w:rPr>
        <w:t>cm</w:t>
      </w:r>
      <w:r>
        <w:rPr>
          <w:rFonts w:ascii="Times New Roman" w:hAnsi="Times New Roman" w:cs="Times New Roman"/>
          <w:sz w:val="24"/>
          <w:szCs w:val="24"/>
        </w:rPr>
        <w:t>。常可见到垂穗鹅观草、针茅、早熟禾、嵩草等禾本科</w:t>
      </w:r>
      <w:r>
        <w:rPr>
          <w:rFonts w:hint="eastAsia" w:ascii="Times New Roman" w:hAnsi="Times New Roman" w:cs="Times New Roman"/>
          <w:sz w:val="24"/>
          <w:szCs w:val="24"/>
        </w:rPr>
        <w:t>和</w:t>
      </w:r>
      <w:r>
        <w:rPr>
          <w:rFonts w:ascii="Times New Roman" w:hAnsi="Times New Roman" w:cs="Times New Roman"/>
          <w:sz w:val="24"/>
          <w:szCs w:val="24"/>
        </w:rPr>
        <w:t>莎草科植物。其它杂草常见的有金莲花、高原毛茛、缘毛紫菀、委陵菜、肉果草、瞿麦、蒲公英、火绒草以及多种龙胆和马先蒿等。</w:t>
      </w:r>
    </w:p>
    <w:p>
      <w:pPr>
        <w:ind w:firstLine="482"/>
        <w:rPr>
          <w:b/>
          <w:szCs w:val="24"/>
        </w:rPr>
      </w:pPr>
      <w:r>
        <w:rPr>
          <w:b/>
          <w:szCs w:val="24"/>
        </w:rPr>
        <w:t>7）嵩草草甸</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嵩草草甸在湿地公园内分布于缓坡、宽谷、阶地。表层草根紧密盘结，总盖度70 ~ 95％。其中嵩草占绝对优势，盖度30％左右，一般高2 ~ 4</w:t>
      </w:r>
      <w:r>
        <w:rPr>
          <w:rFonts w:hint="eastAsia" w:ascii="Times New Roman" w:hAnsi="Times New Roman" w:cs="Times New Roman"/>
          <w:sz w:val="24"/>
          <w:szCs w:val="24"/>
        </w:rPr>
        <w:t>cm</w:t>
      </w:r>
      <w:r>
        <w:rPr>
          <w:rFonts w:ascii="Times New Roman" w:hAnsi="Times New Roman" w:cs="Times New Roman"/>
          <w:sz w:val="24"/>
          <w:szCs w:val="24"/>
        </w:rPr>
        <w:t>。其</w:t>
      </w:r>
      <w:r>
        <w:rPr>
          <w:rFonts w:hint="eastAsia" w:ascii="Times New Roman" w:hAnsi="Times New Roman" w:cs="Times New Roman"/>
          <w:sz w:val="24"/>
          <w:szCs w:val="24"/>
        </w:rPr>
        <w:t>它</w:t>
      </w:r>
      <w:r>
        <w:rPr>
          <w:rFonts w:ascii="Times New Roman" w:hAnsi="Times New Roman" w:cs="Times New Roman"/>
          <w:sz w:val="24"/>
          <w:szCs w:val="24"/>
        </w:rPr>
        <w:t>草本种类繁多，常见种类有：早熟禾、垂穗鹅冠草、珠芽蓼、萎陵菜、星状毛风毛菊、龙胆、毛茛、老鹳草、椭圆叶花锚等。</w:t>
      </w:r>
    </w:p>
    <w:p>
      <w:pPr>
        <w:ind w:firstLine="482"/>
        <w:rPr>
          <w:b/>
          <w:szCs w:val="24"/>
        </w:rPr>
      </w:pPr>
      <w:r>
        <w:rPr>
          <w:b/>
          <w:szCs w:val="24"/>
        </w:rPr>
        <w:t>8）木里苔草、发草沼泽草甸</w:t>
      </w:r>
    </w:p>
    <w:p>
      <w:pPr>
        <w:pStyle w:val="22"/>
        <w:spacing w:line="360" w:lineRule="auto"/>
        <w:ind w:left="210"/>
        <w:rPr>
          <w:rFonts w:ascii="Times New Roman" w:hAnsi="Times New Roman" w:cs="Times New Roman"/>
          <w:bCs/>
          <w:sz w:val="24"/>
          <w:szCs w:val="24"/>
        </w:rPr>
      </w:pPr>
      <w:r>
        <w:rPr>
          <w:rFonts w:ascii="Times New Roman" w:hAnsi="Times New Roman" w:cs="Times New Roman"/>
          <w:bCs/>
          <w:sz w:val="24"/>
          <w:szCs w:val="24"/>
        </w:rPr>
        <w:t>木里</w:t>
      </w:r>
      <w:r>
        <w:rPr>
          <w:rFonts w:ascii="Times New Roman" w:hAnsi="Times New Roman" w:cs="Times New Roman"/>
          <w:sz w:val="24"/>
          <w:szCs w:val="24"/>
        </w:rPr>
        <w:t>苔草、发草沼泽草甸在湿地公园内分布于河滩沼泽湿地。群落以木里苔草、发草为建群种，盖度40~60%，高度20~30cm。种类组成较单纯，多为沼生植物，常见的种类还有矮生嵩草、早熟禾、垂头菊、水葫芦苗 、花葶驴蹄草、矮泽芹。</w:t>
      </w:r>
    </w:p>
    <w:p>
      <w:pPr>
        <w:ind w:firstLine="482"/>
        <w:rPr>
          <w:b/>
          <w:szCs w:val="24"/>
        </w:rPr>
      </w:pPr>
      <w:r>
        <w:rPr>
          <w:b/>
          <w:szCs w:val="24"/>
        </w:rPr>
        <w:t>9）苔草沼泽草甸</w:t>
      </w:r>
    </w:p>
    <w:p>
      <w:pPr>
        <w:ind w:firstLine="482"/>
        <w:rPr>
          <w:b/>
          <w:sz w:val="24"/>
          <w:szCs w:val="24"/>
        </w:rPr>
      </w:pPr>
      <w:r>
        <w:rPr>
          <w:rFonts w:ascii="Times New Roman" w:hAnsi="Times New Roman" w:cs="Times New Roman"/>
          <w:sz w:val="24"/>
          <w:szCs w:val="24"/>
        </w:rPr>
        <w:t>苔草沼泽草甸分布于</w:t>
      </w:r>
      <w:r>
        <w:rPr>
          <w:rFonts w:hint="eastAsia" w:ascii="Times New Roman" w:hAnsi="Times New Roman" w:cs="Times New Roman"/>
          <w:sz w:val="24"/>
          <w:szCs w:val="24"/>
        </w:rPr>
        <w:t>湿地公园内的</w:t>
      </w:r>
      <w:r>
        <w:rPr>
          <w:rFonts w:ascii="Times New Roman" w:hAnsi="Times New Roman" w:cs="Times New Roman"/>
          <w:sz w:val="24"/>
          <w:szCs w:val="24"/>
        </w:rPr>
        <w:t>河滩沼泽湿地</w:t>
      </w:r>
      <w:r>
        <w:rPr>
          <w:rFonts w:hint="eastAsia" w:ascii="Times New Roman" w:hAnsi="Times New Roman" w:cs="Times New Roman"/>
          <w:sz w:val="24"/>
          <w:szCs w:val="24"/>
        </w:rPr>
        <w:t>中</w:t>
      </w:r>
      <w:r>
        <w:rPr>
          <w:rFonts w:ascii="Times New Roman" w:hAnsi="Times New Roman" w:cs="Times New Roman"/>
          <w:sz w:val="24"/>
          <w:szCs w:val="24"/>
        </w:rPr>
        <w:t>，所处地形为闭流宽谷，地表平坦低洼，长年积水，水深5~30cm。建群种为苔草，其次为木里苔草等，处于群落上层。下层则有无柄水毛茛、杉叶藻、帕米尔眼子菜、水麦冬等。</w:t>
      </w:r>
    </w:p>
    <w:p>
      <w:pPr>
        <w:pStyle w:val="8"/>
        <w:numPr>
          <w:ilvl w:val="4"/>
          <w:numId w:val="0"/>
        </w:numPr>
        <w:ind w:leftChars="0"/>
        <w:rPr>
          <w:rFonts w:cs="Times New Roman"/>
        </w:rPr>
      </w:pPr>
      <w:r>
        <w:rPr>
          <w:rFonts w:hint="eastAsia" w:cs="Times New Roman"/>
          <w:lang w:val="en-US" w:eastAsia="zh-CN"/>
        </w:rPr>
        <w:t>4.5.1.2.2</w:t>
      </w:r>
      <w:r>
        <w:rPr>
          <w:rFonts w:cs="Times New Roman"/>
        </w:rPr>
        <w:t>植物多样性组成</w:t>
      </w:r>
    </w:p>
    <w:p>
      <w:pPr>
        <w:ind w:firstLine="480"/>
        <w:rPr>
          <w:rFonts w:cs="Times New Roman"/>
          <w:color w:val="auto"/>
          <w:highlight w:val="none"/>
        </w:rPr>
      </w:pPr>
      <w:r>
        <w:rPr>
          <w:rFonts w:cs="Times New Roman"/>
          <w:szCs w:val="24"/>
        </w:rPr>
        <w:t>通过调查和查阅《中国植物志》、《四川植物志》、《中国高等植物图鉴》等资料，</w:t>
      </w:r>
      <w:r>
        <w:rPr>
          <w:rFonts w:cs="Times New Roman"/>
          <w:szCs w:val="24"/>
          <w:highlight w:val="none"/>
        </w:rPr>
        <w:t>整理出评价区</w:t>
      </w:r>
      <w:r>
        <w:rPr>
          <w:rFonts w:hint="eastAsia" w:cs="Times New Roman"/>
          <w:szCs w:val="24"/>
          <w:highlight w:val="none"/>
        </w:rPr>
        <w:t>分布的高等植物名录</w:t>
      </w:r>
      <w:r>
        <w:rPr>
          <w:rFonts w:cs="Times New Roman"/>
          <w:szCs w:val="24"/>
          <w:highlight w:val="none"/>
        </w:rPr>
        <w:t>（详见附表1）。</w:t>
      </w:r>
      <w:r>
        <w:rPr>
          <w:rFonts w:cs="Times New Roman"/>
          <w:color w:val="auto"/>
          <w:szCs w:val="24"/>
          <w:highlight w:val="none"/>
        </w:rPr>
        <w:t>统计显示，评价区内有</w:t>
      </w:r>
      <w:r>
        <w:rPr>
          <w:rFonts w:hint="eastAsia" w:cs="Times New Roman"/>
          <w:color w:val="auto"/>
          <w:szCs w:val="24"/>
          <w:highlight w:val="none"/>
        </w:rPr>
        <w:t>高等植物有</w:t>
      </w:r>
      <w:r>
        <w:rPr>
          <w:rFonts w:hint="eastAsia" w:cs="Times New Roman"/>
          <w:color w:val="auto"/>
          <w:szCs w:val="24"/>
          <w:highlight w:val="none"/>
          <w:lang w:val="en-US" w:eastAsia="zh-CN"/>
        </w:rPr>
        <w:t>45</w:t>
      </w:r>
      <w:r>
        <w:rPr>
          <w:rFonts w:hint="eastAsia" w:cs="Times New Roman"/>
          <w:color w:val="auto"/>
          <w:szCs w:val="24"/>
          <w:highlight w:val="none"/>
        </w:rPr>
        <w:t>科</w:t>
      </w:r>
      <w:r>
        <w:rPr>
          <w:rFonts w:hint="eastAsia" w:cs="Times New Roman"/>
          <w:color w:val="auto"/>
          <w:szCs w:val="24"/>
          <w:highlight w:val="none"/>
          <w:lang w:val="en-US" w:eastAsia="zh-CN"/>
        </w:rPr>
        <w:t>90</w:t>
      </w:r>
      <w:r>
        <w:rPr>
          <w:rFonts w:hint="eastAsia" w:cs="Times New Roman"/>
          <w:color w:val="auto"/>
          <w:szCs w:val="24"/>
          <w:highlight w:val="none"/>
        </w:rPr>
        <w:t>属</w:t>
      </w:r>
      <w:r>
        <w:rPr>
          <w:rFonts w:hint="eastAsia" w:cs="Times New Roman"/>
          <w:color w:val="auto"/>
          <w:szCs w:val="24"/>
          <w:highlight w:val="none"/>
          <w:lang w:val="en-US" w:eastAsia="zh-CN"/>
        </w:rPr>
        <w:t>119</w:t>
      </w:r>
      <w:r>
        <w:rPr>
          <w:rFonts w:hint="eastAsia" w:cs="Times New Roman"/>
          <w:color w:val="auto"/>
          <w:szCs w:val="24"/>
          <w:highlight w:val="none"/>
        </w:rPr>
        <w:t>种，其中苔藓植物</w:t>
      </w:r>
      <w:r>
        <w:rPr>
          <w:rFonts w:hint="eastAsia" w:cs="Times New Roman"/>
          <w:color w:val="auto"/>
          <w:szCs w:val="24"/>
          <w:highlight w:val="none"/>
          <w:lang w:val="en-US" w:eastAsia="zh-CN"/>
        </w:rPr>
        <w:t>4</w:t>
      </w:r>
      <w:r>
        <w:rPr>
          <w:rFonts w:hint="eastAsia" w:cs="Times New Roman"/>
          <w:color w:val="auto"/>
          <w:szCs w:val="24"/>
          <w:highlight w:val="none"/>
        </w:rPr>
        <w:t>科</w:t>
      </w:r>
      <w:r>
        <w:rPr>
          <w:rFonts w:hint="eastAsia" w:cs="Times New Roman"/>
          <w:color w:val="auto"/>
          <w:szCs w:val="24"/>
          <w:highlight w:val="none"/>
          <w:lang w:val="en-US" w:eastAsia="zh-CN"/>
        </w:rPr>
        <w:t>4</w:t>
      </w:r>
      <w:r>
        <w:rPr>
          <w:rFonts w:hint="eastAsia" w:cs="Times New Roman"/>
          <w:color w:val="auto"/>
          <w:szCs w:val="24"/>
          <w:highlight w:val="none"/>
        </w:rPr>
        <w:t>属</w:t>
      </w:r>
      <w:r>
        <w:rPr>
          <w:rFonts w:hint="eastAsia" w:cs="Times New Roman"/>
          <w:color w:val="auto"/>
          <w:szCs w:val="24"/>
          <w:highlight w:val="none"/>
          <w:lang w:val="en-US" w:eastAsia="zh-CN"/>
        </w:rPr>
        <w:t>4</w:t>
      </w:r>
      <w:r>
        <w:rPr>
          <w:rFonts w:hint="eastAsia" w:cs="Times New Roman"/>
          <w:color w:val="auto"/>
          <w:szCs w:val="24"/>
          <w:highlight w:val="none"/>
        </w:rPr>
        <w:t>种，蕨类植物</w:t>
      </w:r>
      <w:r>
        <w:rPr>
          <w:rFonts w:hint="eastAsia" w:cs="Times New Roman"/>
          <w:color w:val="auto"/>
          <w:szCs w:val="24"/>
          <w:highlight w:val="none"/>
          <w:lang w:val="en-US" w:eastAsia="zh-CN"/>
        </w:rPr>
        <w:t>5</w:t>
      </w:r>
      <w:r>
        <w:rPr>
          <w:rFonts w:hint="eastAsia" w:cs="Times New Roman"/>
          <w:color w:val="auto"/>
          <w:szCs w:val="24"/>
          <w:highlight w:val="none"/>
        </w:rPr>
        <w:t>科</w:t>
      </w:r>
      <w:r>
        <w:rPr>
          <w:rFonts w:hint="eastAsia" w:cs="Times New Roman"/>
          <w:color w:val="auto"/>
          <w:szCs w:val="24"/>
          <w:highlight w:val="none"/>
          <w:lang w:val="en-US" w:eastAsia="zh-CN"/>
        </w:rPr>
        <w:t>5</w:t>
      </w:r>
      <w:r>
        <w:rPr>
          <w:rFonts w:hint="eastAsia" w:cs="Times New Roman"/>
          <w:color w:val="auto"/>
          <w:szCs w:val="24"/>
          <w:highlight w:val="none"/>
        </w:rPr>
        <w:t>属</w:t>
      </w:r>
      <w:r>
        <w:rPr>
          <w:rFonts w:hint="eastAsia" w:cs="Times New Roman"/>
          <w:color w:val="auto"/>
          <w:szCs w:val="24"/>
          <w:highlight w:val="none"/>
          <w:lang w:val="en-US" w:eastAsia="zh-CN"/>
        </w:rPr>
        <w:t>6</w:t>
      </w:r>
      <w:r>
        <w:rPr>
          <w:rFonts w:hint="eastAsia" w:cs="Times New Roman"/>
          <w:color w:val="auto"/>
          <w:szCs w:val="24"/>
          <w:highlight w:val="none"/>
        </w:rPr>
        <w:t>种，裸子植物</w:t>
      </w:r>
      <w:r>
        <w:rPr>
          <w:rFonts w:hint="eastAsia" w:cs="Times New Roman"/>
          <w:color w:val="auto"/>
          <w:szCs w:val="24"/>
          <w:highlight w:val="none"/>
          <w:lang w:val="en-US" w:eastAsia="zh-CN"/>
        </w:rPr>
        <w:t>2</w:t>
      </w:r>
      <w:r>
        <w:rPr>
          <w:rFonts w:hint="eastAsia" w:cs="Times New Roman"/>
          <w:color w:val="auto"/>
          <w:szCs w:val="24"/>
          <w:highlight w:val="none"/>
        </w:rPr>
        <w:t>科</w:t>
      </w:r>
      <w:r>
        <w:rPr>
          <w:rFonts w:hint="eastAsia" w:cs="Times New Roman"/>
          <w:color w:val="auto"/>
          <w:szCs w:val="24"/>
          <w:highlight w:val="none"/>
          <w:lang w:val="en-US" w:eastAsia="zh-CN"/>
        </w:rPr>
        <w:t>2</w:t>
      </w:r>
      <w:r>
        <w:rPr>
          <w:rFonts w:hint="eastAsia" w:cs="Times New Roman"/>
          <w:color w:val="auto"/>
          <w:szCs w:val="24"/>
          <w:highlight w:val="none"/>
        </w:rPr>
        <w:t>属</w:t>
      </w:r>
      <w:r>
        <w:rPr>
          <w:rFonts w:hint="eastAsia" w:cs="Times New Roman"/>
          <w:color w:val="auto"/>
          <w:szCs w:val="24"/>
          <w:highlight w:val="none"/>
          <w:lang w:val="en-US" w:eastAsia="zh-CN"/>
        </w:rPr>
        <w:t>2</w:t>
      </w:r>
      <w:r>
        <w:rPr>
          <w:rFonts w:hint="eastAsia" w:cs="Times New Roman"/>
          <w:color w:val="auto"/>
          <w:szCs w:val="24"/>
          <w:highlight w:val="none"/>
        </w:rPr>
        <w:t>种，被子植物3</w:t>
      </w:r>
      <w:r>
        <w:rPr>
          <w:rFonts w:hint="eastAsia" w:cs="Times New Roman"/>
          <w:color w:val="auto"/>
          <w:szCs w:val="24"/>
          <w:highlight w:val="none"/>
          <w:lang w:val="en-US" w:eastAsia="zh-CN"/>
        </w:rPr>
        <w:t>4</w:t>
      </w:r>
      <w:r>
        <w:rPr>
          <w:rFonts w:hint="eastAsia" w:cs="Times New Roman"/>
          <w:color w:val="auto"/>
          <w:szCs w:val="24"/>
          <w:highlight w:val="none"/>
        </w:rPr>
        <w:t>科</w:t>
      </w:r>
      <w:r>
        <w:rPr>
          <w:rFonts w:hint="eastAsia" w:cs="Times New Roman"/>
          <w:color w:val="auto"/>
          <w:szCs w:val="24"/>
          <w:highlight w:val="none"/>
          <w:lang w:val="en-US" w:eastAsia="zh-CN"/>
        </w:rPr>
        <w:t>79</w:t>
      </w:r>
      <w:r>
        <w:rPr>
          <w:rFonts w:hint="eastAsia" w:cs="Times New Roman"/>
          <w:color w:val="auto"/>
          <w:szCs w:val="24"/>
          <w:highlight w:val="none"/>
        </w:rPr>
        <w:t>属</w:t>
      </w:r>
      <w:r>
        <w:rPr>
          <w:rFonts w:hint="eastAsia" w:cs="Times New Roman"/>
          <w:color w:val="auto"/>
          <w:szCs w:val="24"/>
          <w:highlight w:val="none"/>
          <w:lang w:val="en-US" w:eastAsia="zh-CN"/>
        </w:rPr>
        <w:t>107</w:t>
      </w:r>
      <w:r>
        <w:rPr>
          <w:rFonts w:hint="eastAsia" w:cs="Times New Roman"/>
          <w:color w:val="auto"/>
          <w:szCs w:val="24"/>
          <w:highlight w:val="none"/>
        </w:rPr>
        <w:t>种</w:t>
      </w:r>
      <w:r>
        <w:rPr>
          <w:rFonts w:hint="eastAsia" w:cs="Times New Roman"/>
          <w:color w:val="auto"/>
          <w:szCs w:val="24"/>
          <w:highlight w:val="none"/>
          <w:lang w:eastAsia="zh-CN"/>
        </w:rPr>
        <w:t>，</w:t>
      </w:r>
      <w:r>
        <w:rPr>
          <w:rFonts w:hint="eastAsia" w:cs="Times New Roman"/>
          <w:color w:val="auto"/>
          <w:szCs w:val="24"/>
          <w:highlight w:val="none"/>
          <w:lang w:val="en-US" w:eastAsia="zh-CN"/>
        </w:rPr>
        <w:t>详见</w:t>
      </w:r>
      <w:r>
        <w:rPr>
          <w:rFonts w:cs="Times New Roman"/>
          <w:color w:val="auto"/>
          <w:szCs w:val="24"/>
          <w:highlight w:val="none"/>
        </w:rPr>
        <w:t>表4-1。</w:t>
      </w:r>
    </w:p>
    <w:p>
      <w:pPr>
        <w:spacing w:after="32" w:afterLines="10"/>
        <w:ind w:firstLine="0" w:firstLineChars="0"/>
        <w:jc w:val="center"/>
        <w:rPr>
          <w:rFonts w:cs="Times New Roman"/>
          <w:b/>
          <w:color w:val="auto"/>
          <w:highlight w:val="none"/>
        </w:rPr>
      </w:pPr>
      <w:r>
        <w:rPr>
          <w:rFonts w:cs="Times New Roman"/>
          <w:b/>
          <w:color w:val="auto"/>
          <w:highlight w:val="none"/>
        </w:rPr>
        <w:t>表4-1</w:t>
      </w:r>
      <w:r>
        <w:rPr>
          <w:rFonts w:hint="eastAsia" w:cs="Times New Roman"/>
          <w:b/>
          <w:color w:val="auto"/>
          <w:highlight w:val="none"/>
        </w:rPr>
        <w:t>评价区内高等植物物种组成统计表</w:t>
      </w:r>
    </w:p>
    <w:tbl>
      <w:tblPr>
        <w:tblStyle w:val="42"/>
        <w:tblW w:w="85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134"/>
        <w:gridCol w:w="696"/>
        <w:gridCol w:w="1620"/>
        <w:gridCol w:w="720"/>
        <w:gridCol w:w="1620"/>
        <w:gridCol w:w="720"/>
        <w:gridCol w:w="13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9" w:type="dxa"/>
            <w:gridSpan w:val="2"/>
            <w:vAlign w:val="center"/>
          </w:tcPr>
          <w:p>
            <w:pPr>
              <w:spacing w:line="240" w:lineRule="auto"/>
              <w:ind w:firstLine="422"/>
              <w:jc w:val="center"/>
              <w:rPr>
                <w:rFonts w:cs="Times New Roman"/>
                <w:b/>
                <w:bCs/>
                <w:color w:val="auto"/>
                <w:sz w:val="21"/>
                <w:szCs w:val="21"/>
                <w:highlight w:val="none"/>
              </w:rPr>
            </w:pPr>
            <w:r>
              <w:rPr>
                <w:rFonts w:cs="Times New Roman"/>
                <w:b/>
                <w:bCs/>
                <w:color w:val="auto"/>
                <w:sz w:val="21"/>
                <w:szCs w:val="21"/>
                <w:highlight w:val="none"/>
              </w:rPr>
              <w:t>门类</w:t>
            </w:r>
          </w:p>
        </w:tc>
        <w:tc>
          <w:tcPr>
            <w:tcW w:w="696" w:type="dxa"/>
            <w:vAlign w:val="center"/>
          </w:tcPr>
          <w:p>
            <w:pPr>
              <w:spacing w:line="240" w:lineRule="auto"/>
              <w:ind w:firstLine="0" w:firstLineChars="0"/>
              <w:jc w:val="center"/>
              <w:rPr>
                <w:rFonts w:cs="Times New Roman"/>
                <w:b/>
                <w:bCs/>
                <w:color w:val="auto"/>
                <w:sz w:val="21"/>
                <w:szCs w:val="21"/>
                <w:highlight w:val="none"/>
              </w:rPr>
            </w:pPr>
            <w:r>
              <w:rPr>
                <w:rFonts w:cs="Times New Roman"/>
                <w:b/>
                <w:bCs/>
                <w:color w:val="auto"/>
                <w:sz w:val="21"/>
                <w:szCs w:val="21"/>
                <w:highlight w:val="none"/>
              </w:rPr>
              <w:t>科数</w:t>
            </w:r>
          </w:p>
        </w:tc>
        <w:tc>
          <w:tcPr>
            <w:tcW w:w="1620" w:type="dxa"/>
            <w:vAlign w:val="center"/>
          </w:tcPr>
          <w:p>
            <w:pPr>
              <w:spacing w:line="240" w:lineRule="auto"/>
              <w:ind w:firstLine="0" w:firstLineChars="0"/>
              <w:jc w:val="center"/>
              <w:rPr>
                <w:rFonts w:cs="Times New Roman"/>
                <w:b/>
                <w:bCs/>
                <w:color w:val="auto"/>
                <w:sz w:val="21"/>
                <w:szCs w:val="21"/>
                <w:highlight w:val="none"/>
              </w:rPr>
            </w:pPr>
            <w:r>
              <w:rPr>
                <w:rFonts w:cs="Times New Roman"/>
                <w:b/>
                <w:bCs/>
                <w:color w:val="auto"/>
                <w:sz w:val="21"/>
                <w:szCs w:val="21"/>
                <w:highlight w:val="none"/>
              </w:rPr>
              <w:t>所占比例</w:t>
            </w:r>
          </w:p>
          <w:p>
            <w:pPr>
              <w:spacing w:line="240" w:lineRule="auto"/>
              <w:ind w:firstLine="0" w:firstLineChars="0"/>
              <w:jc w:val="center"/>
              <w:rPr>
                <w:rFonts w:cs="Times New Roman"/>
                <w:b/>
                <w:bCs/>
                <w:color w:val="auto"/>
                <w:sz w:val="21"/>
                <w:szCs w:val="21"/>
                <w:highlight w:val="none"/>
              </w:rPr>
            </w:pPr>
            <w:r>
              <w:rPr>
                <w:rFonts w:cs="Times New Roman"/>
                <w:b/>
                <w:bCs/>
                <w:color w:val="auto"/>
                <w:sz w:val="21"/>
                <w:szCs w:val="21"/>
                <w:highlight w:val="none"/>
              </w:rPr>
              <w:t>(%)</w:t>
            </w:r>
          </w:p>
        </w:tc>
        <w:tc>
          <w:tcPr>
            <w:tcW w:w="720" w:type="dxa"/>
            <w:vAlign w:val="center"/>
          </w:tcPr>
          <w:p>
            <w:pPr>
              <w:spacing w:line="240" w:lineRule="auto"/>
              <w:ind w:firstLine="0" w:firstLineChars="0"/>
              <w:jc w:val="center"/>
              <w:rPr>
                <w:rFonts w:cs="Times New Roman"/>
                <w:b/>
                <w:bCs/>
                <w:color w:val="auto"/>
                <w:sz w:val="21"/>
                <w:szCs w:val="21"/>
                <w:highlight w:val="none"/>
              </w:rPr>
            </w:pPr>
            <w:r>
              <w:rPr>
                <w:rFonts w:cs="Times New Roman"/>
                <w:b/>
                <w:bCs/>
                <w:color w:val="auto"/>
                <w:sz w:val="21"/>
                <w:szCs w:val="21"/>
                <w:highlight w:val="none"/>
              </w:rPr>
              <w:t>属数</w:t>
            </w:r>
          </w:p>
        </w:tc>
        <w:tc>
          <w:tcPr>
            <w:tcW w:w="1620" w:type="dxa"/>
            <w:vAlign w:val="center"/>
          </w:tcPr>
          <w:p>
            <w:pPr>
              <w:spacing w:line="240" w:lineRule="auto"/>
              <w:ind w:firstLine="0" w:firstLineChars="0"/>
              <w:jc w:val="center"/>
              <w:rPr>
                <w:rFonts w:cs="Times New Roman"/>
                <w:b/>
                <w:bCs/>
                <w:color w:val="auto"/>
                <w:sz w:val="21"/>
                <w:szCs w:val="21"/>
                <w:highlight w:val="none"/>
              </w:rPr>
            </w:pPr>
            <w:r>
              <w:rPr>
                <w:rFonts w:cs="Times New Roman"/>
                <w:b/>
                <w:bCs/>
                <w:color w:val="auto"/>
                <w:sz w:val="21"/>
                <w:szCs w:val="21"/>
                <w:highlight w:val="none"/>
              </w:rPr>
              <w:t>所占比例</w:t>
            </w:r>
          </w:p>
          <w:p>
            <w:pPr>
              <w:spacing w:line="240" w:lineRule="auto"/>
              <w:ind w:firstLine="0" w:firstLineChars="0"/>
              <w:jc w:val="center"/>
              <w:rPr>
                <w:rFonts w:cs="Times New Roman"/>
                <w:b/>
                <w:bCs/>
                <w:color w:val="auto"/>
                <w:sz w:val="21"/>
                <w:szCs w:val="21"/>
                <w:highlight w:val="none"/>
              </w:rPr>
            </w:pPr>
            <w:r>
              <w:rPr>
                <w:rFonts w:cs="Times New Roman"/>
                <w:b/>
                <w:bCs/>
                <w:color w:val="auto"/>
                <w:sz w:val="21"/>
                <w:szCs w:val="21"/>
                <w:highlight w:val="none"/>
              </w:rPr>
              <w:t>(%)</w:t>
            </w:r>
          </w:p>
        </w:tc>
        <w:tc>
          <w:tcPr>
            <w:tcW w:w="720" w:type="dxa"/>
            <w:vAlign w:val="center"/>
          </w:tcPr>
          <w:p>
            <w:pPr>
              <w:spacing w:line="240" w:lineRule="auto"/>
              <w:ind w:firstLine="0" w:firstLineChars="0"/>
              <w:jc w:val="center"/>
              <w:rPr>
                <w:rFonts w:cs="Times New Roman"/>
                <w:b/>
                <w:bCs/>
                <w:color w:val="auto"/>
                <w:sz w:val="21"/>
                <w:szCs w:val="21"/>
                <w:highlight w:val="none"/>
              </w:rPr>
            </w:pPr>
            <w:r>
              <w:rPr>
                <w:rFonts w:cs="Times New Roman"/>
                <w:b/>
                <w:bCs/>
                <w:color w:val="auto"/>
                <w:sz w:val="21"/>
                <w:szCs w:val="21"/>
                <w:highlight w:val="none"/>
              </w:rPr>
              <w:t>种数</w:t>
            </w:r>
          </w:p>
        </w:tc>
        <w:tc>
          <w:tcPr>
            <w:tcW w:w="1318" w:type="dxa"/>
            <w:vAlign w:val="center"/>
          </w:tcPr>
          <w:p>
            <w:pPr>
              <w:spacing w:line="240" w:lineRule="auto"/>
              <w:ind w:firstLine="0" w:firstLineChars="0"/>
              <w:jc w:val="center"/>
              <w:rPr>
                <w:rFonts w:cs="Times New Roman"/>
                <w:b/>
                <w:bCs/>
                <w:color w:val="auto"/>
                <w:sz w:val="21"/>
                <w:szCs w:val="21"/>
                <w:highlight w:val="none"/>
              </w:rPr>
            </w:pPr>
            <w:r>
              <w:rPr>
                <w:rFonts w:cs="Times New Roman"/>
                <w:b/>
                <w:bCs/>
                <w:color w:val="auto"/>
                <w:sz w:val="21"/>
                <w:szCs w:val="21"/>
                <w:highlight w:val="none"/>
              </w:rPr>
              <w:t>所占比例(%)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9" w:type="dxa"/>
            <w:gridSpan w:val="2"/>
            <w:vAlign w:val="center"/>
          </w:tcPr>
          <w:p>
            <w:pPr>
              <w:spacing w:line="240" w:lineRule="auto"/>
              <w:ind w:firstLine="420"/>
              <w:rPr>
                <w:rFonts w:cs="Times New Roman"/>
                <w:color w:val="auto"/>
                <w:sz w:val="21"/>
                <w:szCs w:val="21"/>
                <w:highlight w:val="none"/>
              </w:rPr>
            </w:pPr>
            <w:r>
              <w:rPr>
                <w:rFonts w:cs="Times New Roman"/>
                <w:color w:val="auto"/>
                <w:sz w:val="21"/>
                <w:szCs w:val="21"/>
                <w:highlight w:val="none"/>
              </w:rPr>
              <w:t>苔藓植物</w:t>
            </w:r>
          </w:p>
        </w:tc>
        <w:tc>
          <w:tcPr>
            <w:tcW w:w="696"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4</w:t>
            </w:r>
          </w:p>
        </w:tc>
        <w:tc>
          <w:tcPr>
            <w:tcW w:w="1620"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8.89</w:t>
            </w:r>
          </w:p>
        </w:tc>
        <w:tc>
          <w:tcPr>
            <w:tcW w:w="720"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4</w:t>
            </w:r>
          </w:p>
        </w:tc>
        <w:tc>
          <w:tcPr>
            <w:tcW w:w="1620"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4.44</w:t>
            </w:r>
          </w:p>
        </w:tc>
        <w:tc>
          <w:tcPr>
            <w:tcW w:w="720"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4</w:t>
            </w:r>
          </w:p>
        </w:tc>
        <w:tc>
          <w:tcPr>
            <w:tcW w:w="1318"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3.36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9" w:type="dxa"/>
            <w:gridSpan w:val="2"/>
            <w:vAlign w:val="center"/>
          </w:tcPr>
          <w:p>
            <w:pPr>
              <w:spacing w:line="240" w:lineRule="auto"/>
              <w:ind w:firstLine="420"/>
              <w:rPr>
                <w:rFonts w:cs="Times New Roman"/>
                <w:color w:val="auto"/>
                <w:sz w:val="21"/>
                <w:szCs w:val="21"/>
                <w:highlight w:val="none"/>
              </w:rPr>
            </w:pPr>
            <w:r>
              <w:rPr>
                <w:rFonts w:cs="Times New Roman"/>
                <w:color w:val="auto"/>
                <w:sz w:val="21"/>
                <w:szCs w:val="21"/>
                <w:highlight w:val="none"/>
              </w:rPr>
              <w:t>蕨类植物</w:t>
            </w:r>
          </w:p>
        </w:tc>
        <w:tc>
          <w:tcPr>
            <w:tcW w:w="696"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5</w:t>
            </w:r>
          </w:p>
        </w:tc>
        <w:tc>
          <w:tcPr>
            <w:tcW w:w="1620"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11.11</w:t>
            </w:r>
          </w:p>
        </w:tc>
        <w:tc>
          <w:tcPr>
            <w:tcW w:w="720"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5</w:t>
            </w:r>
          </w:p>
        </w:tc>
        <w:tc>
          <w:tcPr>
            <w:tcW w:w="1620"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5.56</w:t>
            </w:r>
          </w:p>
        </w:tc>
        <w:tc>
          <w:tcPr>
            <w:tcW w:w="720"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6</w:t>
            </w:r>
          </w:p>
        </w:tc>
        <w:tc>
          <w:tcPr>
            <w:tcW w:w="1318"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5.04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restart"/>
            <w:vAlign w:val="center"/>
          </w:tcPr>
          <w:p>
            <w:pPr>
              <w:spacing w:line="240" w:lineRule="auto"/>
              <w:ind w:firstLine="0" w:firstLineChars="0"/>
              <w:rPr>
                <w:rFonts w:cs="Times New Roman"/>
                <w:color w:val="auto"/>
                <w:sz w:val="21"/>
                <w:szCs w:val="21"/>
                <w:highlight w:val="none"/>
              </w:rPr>
            </w:pPr>
            <w:r>
              <w:rPr>
                <w:rFonts w:cs="Times New Roman"/>
                <w:color w:val="auto"/>
                <w:sz w:val="21"/>
                <w:szCs w:val="21"/>
                <w:highlight w:val="none"/>
              </w:rPr>
              <w:t>种子植物</w:t>
            </w:r>
          </w:p>
        </w:tc>
        <w:tc>
          <w:tcPr>
            <w:tcW w:w="1134" w:type="dxa"/>
            <w:vAlign w:val="center"/>
          </w:tcPr>
          <w:p>
            <w:pPr>
              <w:spacing w:line="240" w:lineRule="auto"/>
              <w:ind w:firstLine="0" w:firstLineChars="0"/>
              <w:rPr>
                <w:rFonts w:cs="Times New Roman"/>
                <w:color w:val="auto"/>
                <w:sz w:val="21"/>
                <w:szCs w:val="21"/>
                <w:highlight w:val="none"/>
              </w:rPr>
            </w:pPr>
            <w:r>
              <w:rPr>
                <w:rFonts w:cs="Times New Roman"/>
                <w:color w:val="auto"/>
                <w:sz w:val="21"/>
                <w:szCs w:val="21"/>
                <w:highlight w:val="none"/>
              </w:rPr>
              <w:t>裸子植物</w:t>
            </w:r>
          </w:p>
        </w:tc>
        <w:tc>
          <w:tcPr>
            <w:tcW w:w="696"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2</w:t>
            </w:r>
          </w:p>
        </w:tc>
        <w:tc>
          <w:tcPr>
            <w:tcW w:w="1620"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4.44</w:t>
            </w:r>
          </w:p>
        </w:tc>
        <w:tc>
          <w:tcPr>
            <w:tcW w:w="720"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2</w:t>
            </w:r>
          </w:p>
        </w:tc>
        <w:tc>
          <w:tcPr>
            <w:tcW w:w="1620"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2.22</w:t>
            </w:r>
          </w:p>
        </w:tc>
        <w:tc>
          <w:tcPr>
            <w:tcW w:w="720"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2</w:t>
            </w:r>
          </w:p>
        </w:tc>
        <w:tc>
          <w:tcPr>
            <w:tcW w:w="1318"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continue"/>
            <w:vAlign w:val="center"/>
          </w:tcPr>
          <w:p>
            <w:pPr>
              <w:spacing w:line="240" w:lineRule="auto"/>
              <w:ind w:firstLine="420"/>
              <w:rPr>
                <w:rFonts w:cs="Times New Roman"/>
                <w:color w:val="auto"/>
                <w:sz w:val="21"/>
                <w:szCs w:val="21"/>
                <w:highlight w:val="none"/>
              </w:rPr>
            </w:pPr>
          </w:p>
        </w:tc>
        <w:tc>
          <w:tcPr>
            <w:tcW w:w="1134" w:type="dxa"/>
            <w:vAlign w:val="center"/>
          </w:tcPr>
          <w:p>
            <w:pPr>
              <w:spacing w:line="240" w:lineRule="auto"/>
              <w:ind w:firstLine="0" w:firstLineChars="0"/>
              <w:rPr>
                <w:rFonts w:cs="Times New Roman"/>
                <w:color w:val="auto"/>
                <w:sz w:val="21"/>
                <w:szCs w:val="21"/>
                <w:highlight w:val="none"/>
              </w:rPr>
            </w:pPr>
            <w:r>
              <w:rPr>
                <w:rFonts w:cs="Times New Roman"/>
                <w:color w:val="auto"/>
                <w:sz w:val="21"/>
                <w:szCs w:val="21"/>
                <w:highlight w:val="none"/>
              </w:rPr>
              <w:t>被子植物</w:t>
            </w:r>
          </w:p>
        </w:tc>
        <w:tc>
          <w:tcPr>
            <w:tcW w:w="696"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34</w:t>
            </w:r>
          </w:p>
        </w:tc>
        <w:tc>
          <w:tcPr>
            <w:tcW w:w="1620"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75.56</w:t>
            </w:r>
          </w:p>
        </w:tc>
        <w:tc>
          <w:tcPr>
            <w:tcW w:w="720"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79</w:t>
            </w:r>
          </w:p>
        </w:tc>
        <w:tc>
          <w:tcPr>
            <w:tcW w:w="1620"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87.78</w:t>
            </w:r>
          </w:p>
        </w:tc>
        <w:tc>
          <w:tcPr>
            <w:tcW w:w="720"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107</w:t>
            </w:r>
          </w:p>
        </w:tc>
        <w:tc>
          <w:tcPr>
            <w:tcW w:w="1318" w:type="dxa"/>
            <w:vAlign w:val="center"/>
          </w:tcPr>
          <w:p>
            <w:pPr>
              <w:widowControl/>
              <w:spacing w:line="240" w:lineRule="auto"/>
              <w:ind w:firstLine="0" w:firstLineChars="0"/>
              <w:jc w:val="center"/>
              <w:textAlignment w:val="top"/>
              <w:rPr>
                <w:rFonts w:cs="Times New Roman"/>
                <w:color w:val="auto"/>
                <w:sz w:val="21"/>
                <w:szCs w:val="21"/>
                <w:highlight w:val="none"/>
              </w:rPr>
            </w:pPr>
            <w:r>
              <w:rPr>
                <w:rFonts w:eastAsia="等线" w:cs="Times New Roman"/>
                <w:color w:val="auto"/>
                <w:sz w:val="21"/>
                <w:szCs w:val="21"/>
                <w:highlight w:val="none"/>
              </w:rPr>
              <w:t>89.92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9" w:type="dxa"/>
            <w:gridSpan w:val="2"/>
            <w:vAlign w:val="center"/>
          </w:tcPr>
          <w:p>
            <w:pPr>
              <w:spacing w:line="240" w:lineRule="auto"/>
              <w:ind w:firstLine="0" w:firstLineChars="0"/>
              <w:rPr>
                <w:rFonts w:cs="Times New Roman"/>
                <w:color w:val="auto"/>
                <w:sz w:val="21"/>
                <w:szCs w:val="21"/>
                <w:highlight w:val="none"/>
              </w:rPr>
            </w:pPr>
            <w:r>
              <w:rPr>
                <w:rFonts w:cs="Times New Roman"/>
                <w:color w:val="auto"/>
                <w:sz w:val="21"/>
                <w:szCs w:val="21"/>
                <w:highlight w:val="none"/>
              </w:rPr>
              <w:t>合计</w:t>
            </w:r>
          </w:p>
        </w:tc>
        <w:tc>
          <w:tcPr>
            <w:tcW w:w="696" w:type="dxa"/>
            <w:vAlign w:val="center"/>
          </w:tcPr>
          <w:p>
            <w:pPr>
              <w:widowControl/>
              <w:spacing w:line="240" w:lineRule="auto"/>
              <w:ind w:firstLine="0" w:firstLineChars="0"/>
              <w:jc w:val="center"/>
              <w:textAlignment w:val="top"/>
              <w:rPr>
                <w:rFonts w:cs="Times New Roman"/>
                <w:b/>
                <w:bCs/>
                <w:color w:val="auto"/>
                <w:sz w:val="21"/>
                <w:szCs w:val="21"/>
                <w:highlight w:val="none"/>
              </w:rPr>
            </w:pPr>
            <w:r>
              <w:rPr>
                <w:rFonts w:eastAsia="等线" w:cs="Times New Roman"/>
                <w:b/>
                <w:bCs/>
                <w:color w:val="auto"/>
                <w:sz w:val="21"/>
                <w:szCs w:val="21"/>
                <w:highlight w:val="none"/>
              </w:rPr>
              <w:t>45</w:t>
            </w:r>
          </w:p>
        </w:tc>
        <w:tc>
          <w:tcPr>
            <w:tcW w:w="1620" w:type="dxa"/>
            <w:vAlign w:val="center"/>
          </w:tcPr>
          <w:p>
            <w:pPr>
              <w:widowControl/>
              <w:spacing w:line="240" w:lineRule="auto"/>
              <w:ind w:firstLine="0" w:firstLineChars="0"/>
              <w:jc w:val="center"/>
              <w:textAlignment w:val="top"/>
              <w:rPr>
                <w:rFonts w:cs="Times New Roman"/>
                <w:b/>
                <w:bCs/>
                <w:color w:val="auto"/>
                <w:sz w:val="21"/>
                <w:szCs w:val="21"/>
                <w:highlight w:val="none"/>
              </w:rPr>
            </w:pPr>
            <w:r>
              <w:rPr>
                <w:rFonts w:eastAsia="等线" w:cs="Times New Roman"/>
                <w:b/>
                <w:bCs/>
                <w:color w:val="auto"/>
                <w:sz w:val="21"/>
                <w:szCs w:val="21"/>
                <w:highlight w:val="none"/>
              </w:rPr>
              <w:t>100.00</w:t>
            </w:r>
          </w:p>
        </w:tc>
        <w:tc>
          <w:tcPr>
            <w:tcW w:w="720" w:type="dxa"/>
            <w:vAlign w:val="center"/>
          </w:tcPr>
          <w:p>
            <w:pPr>
              <w:widowControl/>
              <w:spacing w:line="240" w:lineRule="auto"/>
              <w:ind w:firstLine="0" w:firstLineChars="0"/>
              <w:jc w:val="center"/>
              <w:textAlignment w:val="top"/>
              <w:rPr>
                <w:rFonts w:cs="Times New Roman"/>
                <w:b/>
                <w:bCs/>
                <w:color w:val="auto"/>
                <w:sz w:val="21"/>
                <w:szCs w:val="21"/>
                <w:highlight w:val="none"/>
              </w:rPr>
            </w:pPr>
            <w:r>
              <w:rPr>
                <w:rFonts w:eastAsia="等线" w:cs="Times New Roman"/>
                <w:b/>
                <w:bCs/>
                <w:color w:val="auto"/>
                <w:sz w:val="21"/>
                <w:szCs w:val="21"/>
                <w:highlight w:val="none"/>
              </w:rPr>
              <w:t>90</w:t>
            </w:r>
          </w:p>
        </w:tc>
        <w:tc>
          <w:tcPr>
            <w:tcW w:w="1620" w:type="dxa"/>
            <w:vAlign w:val="center"/>
          </w:tcPr>
          <w:p>
            <w:pPr>
              <w:widowControl/>
              <w:spacing w:line="240" w:lineRule="auto"/>
              <w:ind w:firstLine="0" w:firstLineChars="0"/>
              <w:jc w:val="center"/>
              <w:textAlignment w:val="top"/>
              <w:rPr>
                <w:rFonts w:cs="Times New Roman"/>
                <w:b/>
                <w:bCs/>
                <w:color w:val="auto"/>
                <w:sz w:val="21"/>
                <w:szCs w:val="21"/>
                <w:highlight w:val="none"/>
              </w:rPr>
            </w:pPr>
            <w:r>
              <w:rPr>
                <w:rFonts w:eastAsia="等线" w:cs="Times New Roman"/>
                <w:b/>
                <w:bCs/>
                <w:color w:val="auto"/>
                <w:sz w:val="21"/>
                <w:szCs w:val="21"/>
                <w:highlight w:val="none"/>
              </w:rPr>
              <w:t>100.00</w:t>
            </w:r>
          </w:p>
        </w:tc>
        <w:tc>
          <w:tcPr>
            <w:tcW w:w="720" w:type="dxa"/>
            <w:vAlign w:val="center"/>
          </w:tcPr>
          <w:p>
            <w:pPr>
              <w:widowControl/>
              <w:spacing w:line="240" w:lineRule="auto"/>
              <w:ind w:firstLine="0" w:firstLineChars="0"/>
              <w:jc w:val="center"/>
              <w:textAlignment w:val="top"/>
              <w:rPr>
                <w:rFonts w:cs="Times New Roman"/>
                <w:b/>
                <w:bCs/>
                <w:color w:val="auto"/>
                <w:sz w:val="21"/>
                <w:szCs w:val="21"/>
                <w:highlight w:val="none"/>
              </w:rPr>
            </w:pPr>
            <w:r>
              <w:rPr>
                <w:rFonts w:eastAsia="等线" w:cs="Times New Roman"/>
                <w:b/>
                <w:bCs/>
                <w:color w:val="auto"/>
                <w:sz w:val="21"/>
                <w:szCs w:val="21"/>
                <w:highlight w:val="none"/>
              </w:rPr>
              <w:t>119</w:t>
            </w:r>
          </w:p>
        </w:tc>
        <w:tc>
          <w:tcPr>
            <w:tcW w:w="1318" w:type="dxa"/>
            <w:vAlign w:val="center"/>
          </w:tcPr>
          <w:p>
            <w:pPr>
              <w:widowControl/>
              <w:spacing w:line="240" w:lineRule="auto"/>
              <w:ind w:firstLine="0" w:firstLineChars="0"/>
              <w:jc w:val="center"/>
              <w:textAlignment w:val="top"/>
              <w:rPr>
                <w:rFonts w:cs="Times New Roman"/>
                <w:b/>
                <w:bCs/>
                <w:color w:val="auto"/>
                <w:sz w:val="21"/>
                <w:szCs w:val="21"/>
                <w:highlight w:val="none"/>
              </w:rPr>
            </w:pPr>
            <w:r>
              <w:rPr>
                <w:rFonts w:eastAsia="等线" w:cs="Times New Roman"/>
                <w:b/>
                <w:bCs/>
                <w:color w:val="auto"/>
                <w:sz w:val="21"/>
                <w:szCs w:val="21"/>
                <w:highlight w:val="none"/>
              </w:rPr>
              <w:t>100.00</w:t>
            </w:r>
          </w:p>
        </w:tc>
      </w:tr>
    </w:tbl>
    <w:p>
      <w:pPr>
        <w:ind w:firstLine="480"/>
        <w:rPr>
          <w:rFonts w:cs="Times New Roman"/>
        </w:rPr>
      </w:pPr>
      <w:r>
        <w:rPr>
          <w:rFonts w:hint="eastAsia" w:cs="Times New Roman"/>
          <w:szCs w:val="24"/>
        </w:rPr>
        <w:t>由表4-1可见，评价区内高等植物以被子植物种类最多，其种类数量分别占总科、属、种总数的75.56%、87.78%和87.78%。在被子植物中，菊科</w:t>
      </w:r>
      <w:r>
        <w:rPr>
          <w:rFonts w:hint="eastAsia" w:cs="Times New Roman"/>
          <w:szCs w:val="24"/>
          <w:lang w:eastAsia="zh-CN"/>
        </w:rPr>
        <w:t>（</w:t>
      </w:r>
      <w:r>
        <w:rPr>
          <w:rFonts w:hint="eastAsia" w:cs="Times New Roman"/>
          <w:szCs w:val="24"/>
        </w:rPr>
        <w:t>Asteraceae</w:t>
      </w:r>
      <w:r>
        <w:rPr>
          <w:rFonts w:hint="eastAsia" w:cs="Times New Roman"/>
          <w:szCs w:val="24"/>
          <w:lang w:eastAsia="zh-CN"/>
        </w:rPr>
        <w:t>）</w:t>
      </w:r>
      <w:r>
        <w:rPr>
          <w:rFonts w:hint="eastAsia" w:cs="Times New Roman"/>
          <w:szCs w:val="24"/>
        </w:rPr>
        <w:t>（10种）、龙胆科</w:t>
      </w:r>
      <w:r>
        <w:rPr>
          <w:rFonts w:hint="eastAsia" w:cs="Times New Roman"/>
          <w:szCs w:val="24"/>
          <w:lang w:eastAsia="zh-CN"/>
        </w:rPr>
        <w:t>（</w:t>
      </w:r>
      <w:r>
        <w:rPr>
          <w:rFonts w:hint="eastAsia" w:cs="Times New Roman"/>
          <w:szCs w:val="24"/>
        </w:rPr>
        <w:t>Gentianaceae</w:t>
      </w:r>
      <w:r>
        <w:rPr>
          <w:rFonts w:hint="eastAsia" w:cs="Times New Roman"/>
          <w:szCs w:val="24"/>
          <w:lang w:eastAsia="zh-CN"/>
        </w:rPr>
        <w:t>）</w:t>
      </w:r>
      <w:r>
        <w:rPr>
          <w:rFonts w:hint="eastAsia" w:cs="Times New Roman"/>
          <w:szCs w:val="24"/>
        </w:rPr>
        <w:t>（6种）、禾本科</w:t>
      </w:r>
      <w:r>
        <w:rPr>
          <w:rFonts w:hint="eastAsia" w:cs="Times New Roman"/>
          <w:szCs w:val="24"/>
          <w:lang w:eastAsia="zh-CN"/>
        </w:rPr>
        <w:t>（</w:t>
      </w:r>
      <w:r>
        <w:rPr>
          <w:rFonts w:hint="eastAsia" w:cs="Times New Roman"/>
          <w:szCs w:val="24"/>
        </w:rPr>
        <w:t>Poaceae</w:t>
      </w:r>
      <w:r>
        <w:rPr>
          <w:rFonts w:hint="eastAsia" w:cs="Times New Roman"/>
          <w:szCs w:val="24"/>
          <w:lang w:eastAsia="zh-CN"/>
        </w:rPr>
        <w:t>）</w:t>
      </w:r>
      <w:r>
        <w:rPr>
          <w:rFonts w:hint="eastAsia" w:cs="Times New Roman"/>
          <w:szCs w:val="24"/>
        </w:rPr>
        <w:t>（6种）、莎草科</w:t>
      </w:r>
      <w:r>
        <w:rPr>
          <w:rFonts w:hint="eastAsia" w:cs="Times New Roman"/>
          <w:szCs w:val="24"/>
          <w:lang w:eastAsia="zh-CN"/>
        </w:rPr>
        <w:t>（</w:t>
      </w:r>
      <w:r>
        <w:rPr>
          <w:rFonts w:hint="eastAsia" w:cs="Times New Roman"/>
          <w:szCs w:val="24"/>
        </w:rPr>
        <w:t>Cyperaceae</w:t>
      </w:r>
      <w:r>
        <w:rPr>
          <w:rFonts w:hint="eastAsia" w:cs="Times New Roman"/>
          <w:szCs w:val="24"/>
          <w:lang w:eastAsia="zh-CN"/>
        </w:rPr>
        <w:t>）</w:t>
      </w:r>
      <w:r>
        <w:rPr>
          <w:rFonts w:hint="eastAsia" w:cs="Times New Roman"/>
          <w:szCs w:val="24"/>
        </w:rPr>
        <w:t>（7种）、蔷薇科</w:t>
      </w:r>
      <w:r>
        <w:rPr>
          <w:rFonts w:hint="eastAsia" w:cs="Times New Roman"/>
          <w:szCs w:val="24"/>
          <w:lang w:eastAsia="zh-CN"/>
        </w:rPr>
        <w:t>（</w:t>
      </w:r>
      <w:r>
        <w:rPr>
          <w:rFonts w:hint="eastAsia" w:cs="Times New Roman"/>
          <w:szCs w:val="24"/>
        </w:rPr>
        <w:t>Rosaceae</w:t>
      </w:r>
      <w:r>
        <w:rPr>
          <w:rFonts w:hint="eastAsia" w:cs="Times New Roman"/>
          <w:szCs w:val="24"/>
          <w:lang w:eastAsia="zh-CN"/>
        </w:rPr>
        <w:t>）</w:t>
      </w:r>
      <w:r>
        <w:rPr>
          <w:rFonts w:hint="eastAsia" w:cs="Times New Roman"/>
          <w:szCs w:val="24"/>
        </w:rPr>
        <w:t>（9种）和毛茛科</w:t>
      </w:r>
      <w:r>
        <w:rPr>
          <w:rFonts w:hint="eastAsia" w:cs="Times New Roman"/>
          <w:szCs w:val="24"/>
          <w:lang w:eastAsia="zh-CN"/>
        </w:rPr>
        <w:t>（</w:t>
      </w:r>
      <w:r>
        <w:rPr>
          <w:rFonts w:hint="eastAsia" w:cs="Times New Roman"/>
          <w:szCs w:val="24"/>
        </w:rPr>
        <w:t>Ranunculaceae</w:t>
      </w:r>
      <w:r>
        <w:rPr>
          <w:rFonts w:hint="eastAsia" w:cs="Times New Roman"/>
          <w:szCs w:val="24"/>
          <w:lang w:eastAsia="zh-CN"/>
        </w:rPr>
        <w:t>）</w:t>
      </w:r>
      <w:r>
        <w:rPr>
          <w:rFonts w:hint="eastAsia" w:cs="Times New Roman"/>
          <w:szCs w:val="24"/>
        </w:rPr>
        <w:t>（11种）分布的物种数超过了5种，共计49种，占高等植物物种总数的41.18%</w:t>
      </w:r>
      <w:r>
        <w:rPr>
          <w:rFonts w:cs="Times New Roman"/>
        </w:rPr>
        <w:t>。</w:t>
      </w:r>
    </w:p>
    <w:p>
      <w:pPr>
        <w:pStyle w:val="8"/>
        <w:numPr>
          <w:ilvl w:val="4"/>
          <w:numId w:val="0"/>
        </w:numPr>
        <w:ind w:leftChars="0"/>
        <w:rPr>
          <w:rFonts w:ascii="Times New Roman" w:hAnsi="Times New Roman" w:eastAsia="宋体" w:cs="Times New Roman"/>
        </w:rPr>
      </w:pPr>
      <w:r>
        <w:rPr>
          <w:rFonts w:hint="eastAsia" w:cs="Times New Roman"/>
          <w:lang w:val="en-US" w:eastAsia="zh-CN"/>
        </w:rPr>
        <w:t>4.5.1.2.3</w:t>
      </w:r>
      <w:r>
        <w:rPr>
          <w:rFonts w:ascii="Times New Roman" w:hAnsi="Times New Roman" w:eastAsia="宋体" w:cs="Times New Roman"/>
        </w:rPr>
        <w:t>水生植物多样性概况</w:t>
      </w:r>
    </w:p>
    <w:p>
      <w:pPr>
        <w:ind w:firstLine="480"/>
        <w:rPr>
          <w:rFonts w:hint="eastAsia" w:ascii="Times New Roman" w:hAnsi="Times New Roman" w:eastAsia="宋体" w:cs="Times New Roman"/>
          <w:szCs w:val="24"/>
        </w:rPr>
      </w:pPr>
      <w:r>
        <w:rPr>
          <w:rFonts w:hint="eastAsia" w:ascii="Times New Roman" w:hAnsi="Times New Roman" w:eastAsia="宋体" w:cs="Times New Roman"/>
          <w:szCs w:val="24"/>
        </w:rPr>
        <w:t>经实地调查，并根据《中国水生植物图谱》，评价区范围内有水生植物20种，隶属11科14属，均为被子植物。</w:t>
      </w:r>
    </w:p>
    <w:p>
      <w:pPr>
        <w:ind w:firstLine="480"/>
        <w:rPr>
          <w:rFonts w:hint="eastAsia" w:ascii="Times New Roman" w:hAnsi="Times New Roman" w:eastAsia="宋体" w:cs="Times New Roman"/>
          <w:szCs w:val="24"/>
        </w:rPr>
      </w:pPr>
      <w:r>
        <w:rPr>
          <w:rFonts w:hint="eastAsia" w:ascii="Times New Roman" w:hAnsi="Times New Roman" w:eastAsia="宋体" w:cs="Times New Roman"/>
          <w:szCs w:val="24"/>
        </w:rPr>
        <w:t>根据水生植物生活方式与形态的不同，该区湿地植物包括浮水植物、沉水植物和挺水植物3种类型。该区的浮水植物主要为眼子菜科植物，沉水植物包括毛茛科部分种类，挺水植物种类最多，也是本区水生植被的主要组成物种，包括禾本科（Gramineae）、莎草科（Cyperaceae）、杨柳科（Polygonaceae）、蓼科(Polygonaceae) 、水麦冬科（Juncaginaceae）、灯心草科（Juncaceae）的植物。</w:t>
      </w:r>
    </w:p>
    <w:p>
      <w:pPr>
        <w:pStyle w:val="8"/>
        <w:numPr>
          <w:ilvl w:val="4"/>
          <w:numId w:val="0"/>
        </w:numPr>
        <w:ind w:leftChars="0"/>
        <w:rPr>
          <w:rFonts w:cs="Times New Roman"/>
        </w:rPr>
      </w:pPr>
      <w:r>
        <w:rPr>
          <w:rFonts w:hint="eastAsia" w:cs="Times New Roman"/>
          <w:lang w:val="en-US" w:eastAsia="zh-CN"/>
        </w:rPr>
        <w:t>4.5.1.2.4</w:t>
      </w:r>
      <w:r>
        <w:rPr>
          <w:rFonts w:cs="Times New Roman"/>
        </w:rPr>
        <w:t>国家与四川省级重点保护野生植物及珍稀濒危野生植物</w:t>
      </w:r>
    </w:p>
    <w:p>
      <w:pPr>
        <w:ind w:firstLine="560"/>
        <w:rPr>
          <w:rFonts w:ascii="Times New Roman" w:hAnsi="Times New Roman" w:eastAsia="宋体" w:cs="Times New Roman"/>
          <w:szCs w:val="24"/>
        </w:rPr>
      </w:pPr>
      <w:r>
        <w:rPr>
          <w:rFonts w:cs="Times New Roman"/>
          <w:szCs w:val="24"/>
        </w:rPr>
        <w:t>按照</w:t>
      </w:r>
      <w:r>
        <w:rPr>
          <w:rFonts w:hint="eastAsia" w:cs="Times New Roman"/>
          <w:szCs w:val="24"/>
          <w:lang w:val="en-US" w:eastAsia="zh-CN"/>
        </w:rPr>
        <w:t>国家林业和草原局、农业农村部公告（2021年第15号）发布</w:t>
      </w:r>
      <w:r>
        <w:rPr>
          <w:rFonts w:cs="Times New Roman"/>
          <w:szCs w:val="24"/>
        </w:rPr>
        <w:t>的《国家重点保护野生植物名录》和四川省人民政府2016年批准的《四川省重点保护野生植物名录》，</w:t>
      </w:r>
      <w:r>
        <w:rPr>
          <w:rFonts w:ascii="Times New Roman" w:hAnsi="Times New Roman" w:eastAsia="宋体" w:cs="Times New Roman"/>
          <w:szCs w:val="24"/>
        </w:rPr>
        <w:t>经实地调查，并查阅历史总规等文献资料，在评价区上述119种高等植物中，有国家Ⅱ级重点保护植物2种，包括冬虫夏草(</w:t>
      </w:r>
      <w:r>
        <w:rPr>
          <w:rFonts w:ascii="Times New Roman" w:hAnsi="Times New Roman" w:eastAsia="宋体" w:cs="Times New Roman"/>
          <w:i/>
          <w:iCs/>
          <w:szCs w:val="24"/>
        </w:rPr>
        <w:t>Cordyceps sinensis</w:t>
      </w:r>
      <w:r>
        <w:rPr>
          <w:rFonts w:ascii="Times New Roman" w:hAnsi="Times New Roman" w:eastAsia="宋体" w:cs="Times New Roman"/>
          <w:szCs w:val="24"/>
        </w:rPr>
        <w:t>)和红花绿绒蒿(</w:t>
      </w:r>
      <w:r>
        <w:rPr>
          <w:rFonts w:ascii="Times New Roman" w:hAnsi="Times New Roman" w:eastAsia="宋体" w:cs="Times New Roman"/>
          <w:i/>
          <w:iCs/>
          <w:szCs w:val="24"/>
        </w:rPr>
        <w:t>Meconopsis punicea</w:t>
      </w:r>
      <w:r>
        <w:rPr>
          <w:rFonts w:ascii="Times New Roman" w:hAnsi="Times New Roman" w:eastAsia="宋体" w:cs="Times New Roman"/>
          <w:szCs w:val="24"/>
        </w:rPr>
        <w:t>)。冬虫夏草和红花绿绒蒿在评价区内多分布于海拔3900m以上的灌丛草甸中，详见表4-2。</w:t>
      </w:r>
    </w:p>
    <w:p>
      <w:pPr>
        <w:pStyle w:val="15"/>
        <w:ind w:firstLine="480"/>
        <w:rPr>
          <w:rFonts w:cs="Times New Roman"/>
        </w:rPr>
      </w:pPr>
      <w:r>
        <w:rPr>
          <w:rFonts w:cs="Times New Roman"/>
        </w:rPr>
        <w:t xml:space="preserve">表 </w:t>
      </w:r>
      <w:r>
        <w:rPr>
          <w:rFonts w:cs="Times New Roman"/>
        </w:rPr>
        <w:fldChar w:fldCharType="begin"/>
      </w:r>
      <w:r>
        <w:rPr>
          <w:rFonts w:cs="Times New Roman"/>
        </w:rPr>
        <w:instrText xml:space="preserve"> STYLEREF 1 \s </w:instrText>
      </w:r>
      <w:r>
        <w:rPr>
          <w:rFonts w:cs="Times New Roman"/>
        </w:rPr>
        <w:fldChar w:fldCharType="separate"/>
      </w:r>
      <w:r>
        <w:rPr>
          <w:rFonts w:cs="Times New Roman"/>
        </w:rPr>
        <w:t>4</w:t>
      </w:r>
      <w:r>
        <w:rPr>
          <w:rFonts w:cs="Times New Roman"/>
        </w:rPr>
        <w:fldChar w:fldCharType="end"/>
      </w:r>
      <w:r>
        <w:rPr>
          <w:rFonts w:cs="Times New Roman"/>
        </w:rPr>
        <w:noBreakHyphen/>
      </w:r>
      <w:r>
        <w:rPr>
          <w:rFonts w:cs="Times New Roman"/>
        </w:rPr>
        <w:t>2 评价区珍稀保护植物现状</w:t>
      </w:r>
    </w:p>
    <w:tbl>
      <w:tblPr>
        <w:tblStyle w:val="42"/>
        <w:tblW w:w="49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7"/>
        <w:gridCol w:w="1990"/>
        <w:gridCol w:w="1235"/>
        <w:gridCol w:w="1856"/>
        <w:gridCol w:w="1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42" w:type="pct"/>
            <w:gridSpan w:val="2"/>
            <w:vMerge w:val="restart"/>
            <w:vAlign w:val="center"/>
          </w:tcPr>
          <w:p>
            <w:pPr>
              <w:spacing w:line="240" w:lineRule="auto"/>
              <w:ind w:firstLine="0" w:firstLineChars="0"/>
              <w:jc w:val="center"/>
              <w:rPr>
                <w:rFonts w:cs="Times New Roman"/>
                <w:b/>
                <w:sz w:val="21"/>
                <w:szCs w:val="21"/>
              </w:rPr>
            </w:pPr>
            <w:r>
              <w:rPr>
                <w:rFonts w:cs="Times New Roman"/>
                <w:b/>
                <w:sz w:val="21"/>
                <w:szCs w:val="21"/>
              </w:rPr>
              <w:t>物         种</w:t>
            </w:r>
          </w:p>
        </w:tc>
        <w:tc>
          <w:tcPr>
            <w:tcW w:w="738" w:type="pct"/>
            <w:vMerge w:val="restart"/>
            <w:vAlign w:val="center"/>
          </w:tcPr>
          <w:p>
            <w:pPr>
              <w:spacing w:line="240" w:lineRule="auto"/>
              <w:ind w:firstLine="0" w:firstLineChars="0"/>
              <w:jc w:val="center"/>
              <w:rPr>
                <w:rFonts w:cs="Times New Roman"/>
                <w:b/>
                <w:sz w:val="21"/>
                <w:szCs w:val="21"/>
              </w:rPr>
            </w:pPr>
            <w:r>
              <w:rPr>
                <w:rFonts w:cs="Times New Roman"/>
                <w:b/>
                <w:sz w:val="21"/>
                <w:szCs w:val="21"/>
              </w:rPr>
              <w:t>保护级别</w:t>
            </w:r>
          </w:p>
        </w:tc>
        <w:tc>
          <w:tcPr>
            <w:tcW w:w="2219" w:type="pct"/>
            <w:gridSpan w:val="2"/>
            <w:vAlign w:val="center"/>
          </w:tcPr>
          <w:p>
            <w:pPr>
              <w:spacing w:line="240" w:lineRule="auto"/>
              <w:ind w:firstLine="0" w:firstLineChars="0"/>
              <w:jc w:val="center"/>
              <w:rPr>
                <w:rFonts w:cs="Times New Roman"/>
                <w:b/>
                <w:sz w:val="21"/>
                <w:szCs w:val="21"/>
              </w:rPr>
            </w:pPr>
            <w:r>
              <w:rPr>
                <w:rFonts w:cs="Times New Roman"/>
                <w:b/>
                <w:sz w:val="21"/>
                <w:szCs w:val="21"/>
              </w:rPr>
              <w:t>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2042" w:type="pct"/>
            <w:gridSpan w:val="2"/>
            <w:vMerge w:val="continue"/>
            <w:vAlign w:val="center"/>
          </w:tcPr>
          <w:p>
            <w:pPr>
              <w:spacing w:line="240" w:lineRule="auto"/>
              <w:ind w:firstLine="0" w:firstLineChars="0"/>
              <w:jc w:val="center"/>
              <w:rPr>
                <w:rFonts w:cs="Times New Roman"/>
                <w:b/>
                <w:sz w:val="21"/>
                <w:szCs w:val="21"/>
              </w:rPr>
            </w:pPr>
          </w:p>
        </w:tc>
        <w:tc>
          <w:tcPr>
            <w:tcW w:w="738" w:type="pct"/>
            <w:vMerge w:val="continue"/>
            <w:vAlign w:val="center"/>
          </w:tcPr>
          <w:p>
            <w:pPr>
              <w:spacing w:line="240" w:lineRule="auto"/>
              <w:ind w:firstLine="0" w:firstLineChars="0"/>
              <w:jc w:val="center"/>
              <w:rPr>
                <w:rFonts w:cs="Times New Roman"/>
                <w:b/>
                <w:sz w:val="21"/>
                <w:szCs w:val="21"/>
              </w:rPr>
            </w:pPr>
          </w:p>
        </w:tc>
        <w:tc>
          <w:tcPr>
            <w:tcW w:w="1109" w:type="pct"/>
            <w:vAlign w:val="center"/>
          </w:tcPr>
          <w:p>
            <w:pPr>
              <w:spacing w:line="240" w:lineRule="auto"/>
              <w:ind w:firstLine="0" w:firstLineChars="0"/>
              <w:jc w:val="center"/>
              <w:rPr>
                <w:rFonts w:hint="eastAsia" w:eastAsia="宋体" w:cs="Times New Roman"/>
                <w:b/>
                <w:sz w:val="21"/>
                <w:szCs w:val="21"/>
                <w:lang w:eastAsia="zh-CN"/>
              </w:rPr>
            </w:pPr>
            <w:r>
              <w:rPr>
                <w:rFonts w:hint="eastAsia" w:cs="Times New Roman"/>
                <w:b/>
                <w:sz w:val="21"/>
                <w:szCs w:val="21"/>
                <w:lang w:eastAsia="zh-CN"/>
              </w:rPr>
              <w:t>东经（</w:t>
            </w:r>
            <w:r>
              <w:rPr>
                <w:rFonts w:hint="eastAsia" w:cs="Times New Roman"/>
                <w:sz w:val="21"/>
                <w:szCs w:val="21"/>
                <w:highlight w:val="none"/>
              </w:rPr>
              <w:t>°</w:t>
            </w:r>
            <w:r>
              <w:rPr>
                <w:rFonts w:hint="eastAsia" w:cs="Times New Roman"/>
                <w:b/>
                <w:sz w:val="21"/>
                <w:szCs w:val="21"/>
                <w:lang w:eastAsia="zh-CN"/>
              </w:rPr>
              <w:t>）</w:t>
            </w:r>
          </w:p>
        </w:tc>
        <w:tc>
          <w:tcPr>
            <w:tcW w:w="1109" w:type="pct"/>
            <w:vAlign w:val="center"/>
          </w:tcPr>
          <w:p>
            <w:pPr>
              <w:spacing w:line="240" w:lineRule="auto"/>
              <w:ind w:firstLine="0" w:firstLineChars="0"/>
              <w:jc w:val="center"/>
              <w:rPr>
                <w:rFonts w:hint="eastAsia" w:eastAsia="宋体" w:cs="Times New Roman"/>
                <w:b/>
                <w:sz w:val="21"/>
                <w:szCs w:val="21"/>
                <w:lang w:eastAsia="zh-CN"/>
              </w:rPr>
            </w:pPr>
            <w:r>
              <w:rPr>
                <w:rFonts w:hint="eastAsia" w:cs="Times New Roman"/>
                <w:b/>
                <w:sz w:val="21"/>
                <w:szCs w:val="21"/>
                <w:lang w:eastAsia="zh-CN"/>
              </w:rPr>
              <w:t>北纬（</w:t>
            </w:r>
            <w:r>
              <w:rPr>
                <w:rFonts w:hint="eastAsia" w:cs="Times New Roman"/>
                <w:sz w:val="21"/>
                <w:szCs w:val="21"/>
                <w:highlight w:val="none"/>
              </w:rPr>
              <w:t>°</w:t>
            </w:r>
            <w:r>
              <w:rPr>
                <w:rFonts w:hint="eastAsia" w:cs="Times New Roman"/>
                <w:b/>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853" w:type="pct"/>
            <w:vAlign w:val="center"/>
          </w:tcPr>
          <w:p>
            <w:pPr>
              <w:spacing w:line="240" w:lineRule="auto"/>
              <w:ind w:firstLine="0" w:firstLineChars="0"/>
              <w:jc w:val="center"/>
              <w:rPr>
                <w:rFonts w:cs="Times New Roman"/>
                <w:b/>
                <w:bCs/>
                <w:sz w:val="21"/>
                <w:szCs w:val="21"/>
              </w:rPr>
            </w:pPr>
            <w:r>
              <w:rPr>
                <w:rFonts w:cs="Times New Roman"/>
                <w:b/>
                <w:bCs/>
                <w:sz w:val="21"/>
                <w:szCs w:val="21"/>
              </w:rPr>
              <w:t>麦角菌科</w:t>
            </w:r>
          </w:p>
        </w:tc>
        <w:tc>
          <w:tcPr>
            <w:tcW w:w="1188" w:type="pct"/>
            <w:vAlign w:val="center"/>
          </w:tcPr>
          <w:p>
            <w:pPr>
              <w:spacing w:line="240" w:lineRule="auto"/>
              <w:ind w:firstLine="0" w:firstLineChars="0"/>
              <w:jc w:val="center"/>
              <w:rPr>
                <w:rFonts w:cs="Times New Roman"/>
                <w:sz w:val="21"/>
                <w:szCs w:val="21"/>
              </w:rPr>
            </w:pPr>
            <w:r>
              <w:rPr>
                <w:rFonts w:cs="Times New Roman"/>
                <w:sz w:val="21"/>
                <w:szCs w:val="21"/>
              </w:rPr>
              <w:t>冬虫夏草</w:t>
            </w:r>
          </w:p>
        </w:tc>
        <w:tc>
          <w:tcPr>
            <w:tcW w:w="738" w:type="pct"/>
            <w:vAlign w:val="center"/>
          </w:tcPr>
          <w:p>
            <w:pPr>
              <w:spacing w:line="240" w:lineRule="auto"/>
              <w:ind w:firstLine="0" w:firstLineChars="0"/>
              <w:jc w:val="center"/>
              <w:rPr>
                <w:rFonts w:cs="Times New Roman"/>
                <w:sz w:val="21"/>
                <w:szCs w:val="21"/>
              </w:rPr>
            </w:pPr>
            <w:r>
              <w:rPr>
                <w:rFonts w:cs="Times New Roman"/>
                <w:color w:val="000000"/>
                <w:sz w:val="21"/>
                <w:szCs w:val="21"/>
              </w:rPr>
              <w:t>Ⅱ</w:t>
            </w:r>
          </w:p>
        </w:tc>
        <w:tc>
          <w:tcPr>
            <w:tcW w:w="1109" w:type="pct"/>
            <w:vAlign w:val="center"/>
          </w:tcPr>
          <w:p>
            <w:pPr>
              <w:spacing w:line="240" w:lineRule="auto"/>
              <w:ind w:firstLine="0" w:firstLineChars="0"/>
              <w:jc w:val="center"/>
              <w:rPr>
                <w:rFonts w:cs="Times New Roman"/>
                <w:color w:val="000000"/>
                <w:sz w:val="21"/>
                <w:szCs w:val="21"/>
                <w:highlight w:val="none"/>
              </w:rPr>
            </w:pPr>
            <w:r>
              <w:rPr>
                <w:rFonts w:hint="eastAsia" w:cs="Times New Roman"/>
                <w:color w:val="000000"/>
                <w:sz w:val="21"/>
                <w:szCs w:val="21"/>
                <w:highlight w:val="none"/>
              </w:rPr>
              <w:t>101.</w:t>
            </w:r>
            <w:r>
              <w:rPr>
                <w:rFonts w:hint="eastAsia" w:cs="Times New Roman"/>
                <w:color w:val="000000"/>
                <w:sz w:val="21"/>
                <w:szCs w:val="21"/>
                <w:highlight w:val="none"/>
                <w:lang w:val="en-US" w:eastAsia="zh-CN"/>
              </w:rPr>
              <w:t>243741</w:t>
            </w:r>
          </w:p>
        </w:tc>
        <w:tc>
          <w:tcPr>
            <w:tcW w:w="1109" w:type="pct"/>
            <w:vAlign w:val="center"/>
          </w:tcPr>
          <w:p>
            <w:pPr>
              <w:spacing w:line="240" w:lineRule="auto"/>
              <w:ind w:firstLine="0" w:firstLineChars="0"/>
              <w:jc w:val="center"/>
              <w:rPr>
                <w:rFonts w:hint="eastAsia" w:cs="Times New Roman"/>
                <w:color w:val="000000"/>
                <w:sz w:val="21"/>
                <w:szCs w:val="21"/>
                <w:highlight w:val="none"/>
              </w:rPr>
            </w:pPr>
            <w:r>
              <w:rPr>
                <w:rFonts w:hint="eastAsia" w:cs="Times New Roman"/>
                <w:color w:val="000000"/>
                <w:sz w:val="21"/>
                <w:szCs w:val="21"/>
                <w:highlight w:val="none"/>
              </w:rPr>
              <w:t>33.</w:t>
            </w:r>
            <w:r>
              <w:rPr>
                <w:rFonts w:hint="eastAsia" w:cs="Times New Roman"/>
                <w:color w:val="000000"/>
                <w:sz w:val="21"/>
                <w:szCs w:val="21"/>
                <w:highlight w:val="none"/>
                <w:lang w:val="en-US" w:eastAsia="zh-CN"/>
              </w:rPr>
              <w:t>134946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853" w:type="pct"/>
            <w:vMerge w:val="restart"/>
            <w:vAlign w:val="center"/>
          </w:tcPr>
          <w:p>
            <w:pPr>
              <w:spacing w:line="240" w:lineRule="auto"/>
              <w:ind w:firstLine="0" w:firstLineChars="0"/>
              <w:jc w:val="center"/>
              <w:rPr>
                <w:rFonts w:cs="Times New Roman"/>
                <w:b/>
                <w:bCs/>
                <w:sz w:val="21"/>
                <w:szCs w:val="21"/>
              </w:rPr>
            </w:pPr>
            <w:r>
              <w:rPr>
                <w:rFonts w:cs="Times New Roman"/>
                <w:b/>
                <w:bCs/>
                <w:sz w:val="21"/>
                <w:szCs w:val="21"/>
              </w:rPr>
              <w:t>罂粟科</w:t>
            </w:r>
          </w:p>
        </w:tc>
        <w:tc>
          <w:tcPr>
            <w:tcW w:w="1188" w:type="pct"/>
            <w:vMerge w:val="restart"/>
            <w:vAlign w:val="center"/>
          </w:tcPr>
          <w:p>
            <w:pPr>
              <w:spacing w:line="240" w:lineRule="auto"/>
              <w:ind w:firstLine="0" w:firstLineChars="0"/>
              <w:jc w:val="center"/>
              <w:rPr>
                <w:rFonts w:cs="Times New Roman"/>
                <w:sz w:val="21"/>
                <w:szCs w:val="21"/>
              </w:rPr>
            </w:pPr>
            <w:r>
              <w:rPr>
                <w:rFonts w:cs="Times New Roman"/>
                <w:sz w:val="21"/>
                <w:szCs w:val="21"/>
              </w:rPr>
              <w:t>红花绿绒蒿</w:t>
            </w:r>
          </w:p>
        </w:tc>
        <w:tc>
          <w:tcPr>
            <w:tcW w:w="738" w:type="pct"/>
            <w:vMerge w:val="restart"/>
            <w:vAlign w:val="center"/>
          </w:tcPr>
          <w:p>
            <w:pPr>
              <w:spacing w:line="240" w:lineRule="auto"/>
              <w:ind w:firstLine="0" w:firstLineChars="0"/>
              <w:jc w:val="center"/>
              <w:rPr>
                <w:rFonts w:cs="Times New Roman"/>
                <w:sz w:val="21"/>
                <w:szCs w:val="21"/>
              </w:rPr>
            </w:pPr>
            <w:r>
              <w:rPr>
                <w:rFonts w:cs="Times New Roman"/>
                <w:color w:val="000000"/>
                <w:sz w:val="21"/>
                <w:szCs w:val="21"/>
              </w:rPr>
              <w:t>Ⅱ</w:t>
            </w:r>
          </w:p>
        </w:tc>
        <w:tc>
          <w:tcPr>
            <w:tcW w:w="1109" w:type="pct"/>
            <w:vAlign w:val="center"/>
          </w:tcPr>
          <w:p>
            <w:pPr>
              <w:spacing w:line="240" w:lineRule="auto"/>
              <w:ind w:firstLine="0" w:firstLineChars="0"/>
              <w:jc w:val="center"/>
              <w:rPr>
                <w:rFonts w:cs="Times New Roman"/>
                <w:color w:val="000000"/>
                <w:sz w:val="21"/>
                <w:szCs w:val="21"/>
                <w:highlight w:val="none"/>
              </w:rPr>
            </w:pPr>
            <w:r>
              <w:rPr>
                <w:rFonts w:hint="eastAsia" w:cs="Times New Roman"/>
                <w:color w:val="000000"/>
                <w:sz w:val="21"/>
                <w:szCs w:val="21"/>
                <w:highlight w:val="none"/>
              </w:rPr>
              <w:t>101.</w:t>
            </w:r>
            <w:r>
              <w:rPr>
                <w:rFonts w:hint="eastAsia" w:cs="Times New Roman"/>
                <w:color w:val="000000"/>
                <w:sz w:val="21"/>
                <w:szCs w:val="21"/>
                <w:highlight w:val="none"/>
                <w:lang w:val="en-US" w:eastAsia="zh-CN"/>
              </w:rPr>
              <w:t>267740</w:t>
            </w:r>
          </w:p>
        </w:tc>
        <w:tc>
          <w:tcPr>
            <w:tcW w:w="1109" w:type="pct"/>
            <w:vAlign w:val="center"/>
          </w:tcPr>
          <w:p>
            <w:pPr>
              <w:spacing w:line="240" w:lineRule="auto"/>
              <w:ind w:firstLine="0" w:firstLineChars="0"/>
              <w:jc w:val="center"/>
              <w:rPr>
                <w:rFonts w:hint="eastAsia" w:cs="Times New Roman"/>
                <w:color w:val="000000"/>
                <w:sz w:val="21"/>
                <w:szCs w:val="21"/>
                <w:highlight w:val="none"/>
              </w:rPr>
            </w:pPr>
            <w:r>
              <w:rPr>
                <w:rFonts w:hint="eastAsia" w:cs="Times New Roman"/>
                <w:color w:val="000000"/>
                <w:sz w:val="21"/>
                <w:szCs w:val="21"/>
                <w:highlight w:val="none"/>
              </w:rPr>
              <w:t>33.</w:t>
            </w:r>
            <w:r>
              <w:rPr>
                <w:rFonts w:hint="eastAsia" w:cs="Times New Roman"/>
                <w:color w:val="000000"/>
                <w:sz w:val="21"/>
                <w:szCs w:val="21"/>
                <w:highlight w:val="none"/>
                <w:lang w:val="en-US" w:eastAsia="zh-CN"/>
              </w:rPr>
              <w:t>105653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853" w:type="pct"/>
            <w:vMerge w:val="continue"/>
            <w:vAlign w:val="center"/>
          </w:tcPr>
          <w:p>
            <w:pPr>
              <w:spacing w:line="240" w:lineRule="auto"/>
              <w:ind w:firstLine="0" w:firstLineChars="0"/>
              <w:rPr>
                <w:rFonts w:cs="Times New Roman"/>
                <w:b/>
                <w:bCs/>
                <w:sz w:val="21"/>
                <w:szCs w:val="21"/>
              </w:rPr>
            </w:pPr>
          </w:p>
        </w:tc>
        <w:tc>
          <w:tcPr>
            <w:tcW w:w="1188" w:type="pct"/>
            <w:vMerge w:val="continue"/>
            <w:vAlign w:val="center"/>
          </w:tcPr>
          <w:p>
            <w:pPr>
              <w:spacing w:line="240" w:lineRule="auto"/>
              <w:ind w:firstLine="0" w:firstLineChars="0"/>
              <w:jc w:val="left"/>
              <w:rPr>
                <w:rFonts w:cs="Times New Roman"/>
                <w:sz w:val="21"/>
                <w:szCs w:val="21"/>
              </w:rPr>
            </w:pPr>
          </w:p>
        </w:tc>
        <w:tc>
          <w:tcPr>
            <w:tcW w:w="738" w:type="pct"/>
            <w:vMerge w:val="continue"/>
            <w:vAlign w:val="center"/>
          </w:tcPr>
          <w:p>
            <w:pPr>
              <w:spacing w:line="240" w:lineRule="auto"/>
              <w:ind w:firstLine="0" w:firstLineChars="0"/>
              <w:jc w:val="center"/>
              <w:rPr>
                <w:rFonts w:cs="Times New Roman"/>
                <w:color w:val="000000"/>
                <w:sz w:val="21"/>
                <w:szCs w:val="21"/>
              </w:rPr>
            </w:pPr>
          </w:p>
        </w:tc>
        <w:tc>
          <w:tcPr>
            <w:tcW w:w="1109" w:type="pct"/>
            <w:vAlign w:val="center"/>
          </w:tcPr>
          <w:p>
            <w:pPr>
              <w:spacing w:line="240" w:lineRule="auto"/>
              <w:ind w:firstLine="0" w:firstLineChars="0"/>
              <w:jc w:val="center"/>
              <w:rPr>
                <w:rFonts w:hint="eastAsia" w:cs="Times New Roman"/>
                <w:color w:val="000000"/>
                <w:sz w:val="21"/>
                <w:szCs w:val="21"/>
                <w:highlight w:val="none"/>
              </w:rPr>
            </w:pPr>
            <w:r>
              <w:rPr>
                <w:rFonts w:hint="eastAsia" w:cs="Times New Roman"/>
                <w:color w:val="000000"/>
                <w:sz w:val="21"/>
                <w:szCs w:val="21"/>
                <w:highlight w:val="none"/>
              </w:rPr>
              <w:t>101.</w:t>
            </w:r>
            <w:r>
              <w:rPr>
                <w:rFonts w:hint="eastAsia" w:cs="Times New Roman"/>
                <w:color w:val="000000"/>
                <w:sz w:val="21"/>
                <w:szCs w:val="21"/>
                <w:highlight w:val="none"/>
                <w:lang w:val="en-US" w:eastAsia="zh-CN"/>
              </w:rPr>
              <w:t>299179</w:t>
            </w:r>
          </w:p>
        </w:tc>
        <w:tc>
          <w:tcPr>
            <w:tcW w:w="1109" w:type="pct"/>
            <w:vAlign w:val="center"/>
          </w:tcPr>
          <w:p>
            <w:pPr>
              <w:spacing w:line="240" w:lineRule="auto"/>
              <w:ind w:firstLine="0" w:firstLineChars="0"/>
              <w:jc w:val="center"/>
              <w:rPr>
                <w:rFonts w:hint="eastAsia" w:cs="Times New Roman"/>
                <w:color w:val="000000"/>
                <w:sz w:val="21"/>
                <w:szCs w:val="21"/>
                <w:highlight w:val="none"/>
              </w:rPr>
            </w:pPr>
            <w:r>
              <w:rPr>
                <w:rFonts w:hint="eastAsia" w:cs="Times New Roman"/>
                <w:color w:val="000000"/>
                <w:sz w:val="21"/>
                <w:szCs w:val="21"/>
                <w:highlight w:val="none"/>
              </w:rPr>
              <w:t>33.0</w:t>
            </w:r>
            <w:r>
              <w:rPr>
                <w:rFonts w:hint="eastAsia" w:cs="Times New Roman"/>
                <w:color w:val="000000"/>
                <w:sz w:val="21"/>
                <w:szCs w:val="21"/>
                <w:highlight w:val="none"/>
                <w:lang w:val="en-US" w:eastAsia="zh-CN"/>
              </w:rPr>
              <w:t>78486</w:t>
            </w:r>
          </w:p>
        </w:tc>
      </w:tr>
    </w:tbl>
    <w:p>
      <w:pPr>
        <w:pStyle w:val="8"/>
        <w:numPr>
          <w:ilvl w:val="4"/>
          <w:numId w:val="0"/>
        </w:numPr>
        <w:ind w:leftChars="0"/>
        <w:rPr>
          <w:rFonts w:cs="Times New Roman"/>
        </w:rPr>
      </w:pPr>
      <w:r>
        <w:rPr>
          <w:rFonts w:hint="eastAsia" w:cs="Times New Roman"/>
          <w:lang w:val="en-US" w:eastAsia="zh-CN"/>
        </w:rPr>
        <w:t>4.5.1.2.5</w:t>
      </w:r>
      <w:r>
        <w:rPr>
          <w:rFonts w:cs="Times New Roman"/>
        </w:rPr>
        <w:t>特有植物</w:t>
      </w:r>
    </w:p>
    <w:p>
      <w:pPr>
        <w:ind w:firstLine="480"/>
        <w:rPr>
          <w:rFonts w:cs="Times New Roman"/>
        </w:rPr>
      </w:pPr>
      <w:r>
        <w:rPr>
          <w:rFonts w:hint="eastAsia" w:cs="Times New Roman"/>
        </w:rPr>
        <w:t>根据《中国植物志》描述，评价区种子植物中有中国特有植物40个种，隶属于22科31属，主要包括岷江冷杉（</w:t>
      </w:r>
      <w:r>
        <w:rPr>
          <w:rFonts w:hint="eastAsia" w:cs="Times New Roman"/>
          <w:i/>
          <w:iCs/>
        </w:rPr>
        <w:t>Abies faxoniana</w:t>
      </w:r>
      <w:r>
        <w:rPr>
          <w:rFonts w:hint="eastAsia" w:cs="Times New Roman"/>
        </w:rPr>
        <w:t>）、奇花柳（</w:t>
      </w:r>
      <w:r>
        <w:rPr>
          <w:rFonts w:hint="eastAsia" w:ascii="Times New Roman" w:hAnsi="Times New Roman" w:eastAsia="宋体" w:cs="Times New Roman"/>
          <w:i/>
          <w:iCs/>
        </w:rPr>
        <w:t>Salix atopantha</w:t>
      </w:r>
      <w:r>
        <w:rPr>
          <w:rFonts w:hint="eastAsia" w:cs="Times New Roman"/>
        </w:rPr>
        <w:t>）、川滇柳（</w:t>
      </w:r>
      <w:r>
        <w:rPr>
          <w:rFonts w:hint="eastAsia" w:ascii="Times New Roman" w:hAnsi="Times New Roman" w:eastAsia="宋体" w:cs="Times New Roman"/>
          <w:i/>
          <w:iCs/>
        </w:rPr>
        <w:t>Salix rehderiana</w:t>
      </w:r>
      <w:r>
        <w:rPr>
          <w:rFonts w:hint="eastAsia" w:cs="Times New Roman"/>
        </w:rPr>
        <w:t>）、毛茛状金莲花（</w:t>
      </w:r>
      <w:r>
        <w:rPr>
          <w:rFonts w:hint="eastAsia" w:ascii="Times New Roman" w:hAnsi="Times New Roman" w:eastAsia="宋体" w:cs="Times New Roman"/>
          <w:i/>
          <w:iCs/>
        </w:rPr>
        <w:t>Trollius ranunculoides</w:t>
      </w:r>
      <w:r>
        <w:rPr>
          <w:rFonts w:hint="eastAsia" w:cs="Times New Roman"/>
        </w:rPr>
        <w:t>）、矮金莲花（</w:t>
      </w:r>
      <w:r>
        <w:rPr>
          <w:rFonts w:hint="eastAsia" w:ascii="Times New Roman" w:hAnsi="Times New Roman" w:eastAsia="宋体" w:cs="Times New Roman"/>
          <w:i/>
          <w:iCs/>
        </w:rPr>
        <w:t>Trollius farreri</w:t>
      </w:r>
      <w:r>
        <w:rPr>
          <w:rFonts w:hint="eastAsia" w:cs="Times New Roman"/>
        </w:rPr>
        <w:t>）、近似小檗（</w:t>
      </w:r>
      <w:r>
        <w:rPr>
          <w:rFonts w:hint="eastAsia" w:ascii="Times New Roman" w:hAnsi="Times New Roman" w:eastAsia="宋体" w:cs="Times New Roman"/>
          <w:i/>
          <w:iCs/>
        </w:rPr>
        <w:t>Berberis approximata</w:t>
      </w:r>
      <w:r>
        <w:rPr>
          <w:rFonts w:hint="eastAsia" w:cs="Times New Roman"/>
        </w:rPr>
        <w:t>）、窄叶鲜卑花（</w:t>
      </w:r>
      <w:r>
        <w:rPr>
          <w:rFonts w:hint="eastAsia" w:ascii="Times New Roman" w:hAnsi="Times New Roman" w:eastAsia="宋体" w:cs="Times New Roman"/>
          <w:i/>
          <w:iCs/>
        </w:rPr>
        <w:t>Sibiraea angustata</w:t>
      </w:r>
      <w:r>
        <w:rPr>
          <w:rFonts w:hint="eastAsia" w:cs="Times New Roman"/>
        </w:rPr>
        <w:t>）、陇蜀杜鹃（</w:t>
      </w:r>
      <w:r>
        <w:rPr>
          <w:rFonts w:hint="eastAsia" w:ascii="Times New Roman" w:hAnsi="Times New Roman" w:eastAsia="宋体" w:cs="Times New Roman"/>
          <w:i/>
          <w:iCs/>
        </w:rPr>
        <w:t>Rhododendron przewalskii</w:t>
      </w:r>
      <w:r>
        <w:rPr>
          <w:rFonts w:hint="eastAsia" w:cs="Times New Roman"/>
        </w:rPr>
        <w:t>）、光亮杜鹃（</w:t>
      </w:r>
      <w:r>
        <w:rPr>
          <w:rFonts w:hint="eastAsia" w:ascii="Times New Roman" w:hAnsi="Times New Roman" w:eastAsia="宋体" w:cs="Times New Roman"/>
          <w:i/>
          <w:iCs/>
        </w:rPr>
        <w:t>Rhododendron nitidulum</w:t>
      </w:r>
      <w:r>
        <w:rPr>
          <w:rFonts w:hint="eastAsia" w:cs="Times New Roman"/>
        </w:rPr>
        <w:t>）、甘西鼠尾草（</w:t>
      </w:r>
      <w:r>
        <w:rPr>
          <w:rFonts w:hint="eastAsia" w:ascii="Times New Roman" w:hAnsi="Times New Roman" w:eastAsia="宋体" w:cs="Times New Roman"/>
          <w:i/>
          <w:iCs/>
        </w:rPr>
        <w:t>Salvia przewalskii</w:t>
      </w:r>
      <w:r>
        <w:rPr>
          <w:rFonts w:hint="eastAsia" w:cs="Times New Roman"/>
        </w:rPr>
        <w:t>）、香芸火绒草（</w:t>
      </w:r>
      <w:r>
        <w:rPr>
          <w:rFonts w:hint="eastAsia" w:ascii="Times New Roman" w:hAnsi="Times New Roman" w:eastAsia="宋体" w:cs="Times New Roman"/>
          <w:i/>
          <w:iCs/>
        </w:rPr>
        <w:t>Leontopodium haplophylloides</w:t>
      </w:r>
      <w:r>
        <w:rPr>
          <w:rFonts w:hint="eastAsia" w:cs="Times New Roman"/>
        </w:rPr>
        <w:t>）等。具体见附录1植物名录。</w:t>
      </w:r>
    </w:p>
    <w:p>
      <w:pPr>
        <w:pStyle w:val="8"/>
        <w:numPr>
          <w:ilvl w:val="4"/>
          <w:numId w:val="0"/>
        </w:numPr>
        <w:ind w:leftChars="0"/>
        <w:rPr>
          <w:rFonts w:cs="Times New Roman"/>
        </w:rPr>
      </w:pPr>
      <w:r>
        <w:rPr>
          <w:rFonts w:hint="eastAsia" w:cs="Times New Roman"/>
          <w:lang w:val="en-US" w:eastAsia="zh-CN"/>
        </w:rPr>
        <w:t>4.5.1.2.6</w:t>
      </w:r>
      <w:r>
        <w:rPr>
          <w:rFonts w:cs="Times New Roman"/>
        </w:rPr>
        <w:t>古树名木</w:t>
      </w:r>
    </w:p>
    <w:p>
      <w:pPr>
        <w:ind w:firstLine="480"/>
        <w:rPr>
          <w:rFonts w:cs="Times New Roman"/>
        </w:rPr>
      </w:pPr>
      <w:r>
        <w:rPr>
          <w:rFonts w:cs="Times New Roman"/>
        </w:rPr>
        <w:t>通过现场调查，评价区内没有经过当地林业主管部门认定的古树名木。</w:t>
      </w:r>
    </w:p>
    <w:p>
      <w:pPr>
        <w:pStyle w:val="6"/>
        <w:numPr>
          <w:ilvl w:val="0"/>
          <w:numId w:val="0"/>
        </w:numPr>
      </w:pPr>
      <w:r>
        <w:t>4.5.1.</w:t>
      </w:r>
      <w:r>
        <w:rPr>
          <w:rFonts w:hint="eastAsia"/>
          <w:lang w:val="en-US" w:eastAsia="zh-CN"/>
        </w:rPr>
        <w:t>3</w:t>
      </w:r>
      <w:r>
        <w:t>野生动物现状</w:t>
      </w:r>
    </w:p>
    <w:p>
      <w:pPr>
        <w:spacing w:after="32" w:afterLines="10" w:line="560" w:lineRule="exact"/>
        <w:ind w:firstLine="480"/>
        <w:rPr>
          <w:sz w:val="28"/>
          <w:szCs w:val="28"/>
          <w:highlight w:val="none"/>
        </w:rPr>
      </w:pPr>
      <w:r>
        <w:rPr>
          <w:rFonts w:cs="Times New Roman"/>
          <w:highlight w:val="none"/>
        </w:rPr>
        <w:t>经现场调查、查阅相关资料并结合访问情况，确认评价区内的野生脊椎动物</w:t>
      </w:r>
      <w:r>
        <w:rPr>
          <w:rFonts w:cs="Times New Roman"/>
          <w:szCs w:val="24"/>
          <w:highlight w:val="none"/>
        </w:rPr>
        <w:t>为</w:t>
      </w:r>
      <w:r>
        <w:rPr>
          <w:rFonts w:hint="eastAsia"/>
          <w:szCs w:val="24"/>
          <w:highlight w:val="none"/>
          <w:lang w:val="en-US" w:eastAsia="zh-CN"/>
        </w:rPr>
        <w:t>20</w:t>
      </w:r>
      <w:r>
        <w:rPr>
          <w:szCs w:val="24"/>
          <w:highlight w:val="none"/>
        </w:rPr>
        <w:t>目</w:t>
      </w:r>
      <w:r>
        <w:rPr>
          <w:rFonts w:hint="eastAsia"/>
          <w:szCs w:val="24"/>
          <w:highlight w:val="none"/>
          <w:lang w:val="en-US" w:eastAsia="zh-CN"/>
        </w:rPr>
        <w:t>45</w:t>
      </w:r>
      <w:r>
        <w:rPr>
          <w:szCs w:val="24"/>
          <w:highlight w:val="none"/>
        </w:rPr>
        <w:t>科</w:t>
      </w:r>
      <w:r>
        <w:rPr>
          <w:rFonts w:hint="eastAsia"/>
          <w:szCs w:val="24"/>
          <w:highlight w:val="none"/>
          <w:lang w:val="en-US" w:eastAsia="zh-CN"/>
        </w:rPr>
        <w:t>85</w:t>
      </w:r>
      <w:r>
        <w:rPr>
          <w:szCs w:val="24"/>
          <w:highlight w:val="none"/>
        </w:rPr>
        <w:t>种。其中，鱼类</w:t>
      </w:r>
      <w:r>
        <w:rPr>
          <w:rFonts w:hint="eastAsia"/>
          <w:szCs w:val="24"/>
          <w:highlight w:val="none"/>
          <w:lang w:val="en-US" w:eastAsia="zh-CN"/>
        </w:rPr>
        <w:t>1</w:t>
      </w:r>
      <w:r>
        <w:rPr>
          <w:szCs w:val="24"/>
          <w:highlight w:val="none"/>
        </w:rPr>
        <w:t>目</w:t>
      </w:r>
      <w:r>
        <w:rPr>
          <w:rFonts w:hint="eastAsia"/>
          <w:szCs w:val="24"/>
          <w:highlight w:val="none"/>
          <w:lang w:val="en-US" w:eastAsia="zh-CN"/>
        </w:rPr>
        <w:t>2</w:t>
      </w:r>
      <w:r>
        <w:rPr>
          <w:szCs w:val="24"/>
          <w:highlight w:val="none"/>
        </w:rPr>
        <w:t>科</w:t>
      </w:r>
      <w:r>
        <w:rPr>
          <w:rFonts w:hint="eastAsia"/>
          <w:szCs w:val="24"/>
          <w:highlight w:val="none"/>
          <w:lang w:val="en-US" w:eastAsia="zh-CN"/>
        </w:rPr>
        <w:t>2</w:t>
      </w:r>
      <w:r>
        <w:rPr>
          <w:szCs w:val="24"/>
          <w:highlight w:val="none"/>
        </w:rPr>
        <w:t>种，两栖类</w:t>
      </w:r>
      <w:r>
        <w:rPr>
          <w:rFonts w:hint="eastAsia"/>
          <w:szCs w:val="24"/>
          <w:highlight w:val="none"/>
        </w:rPr>
        <w:t>1</w:t>
      </w:r>
      <w:r>
        <w:rPr>
          <w:szCs w:val="24"/>
          <w:highlight w:val="none"/>
        </w:rPr>
        <w:t>目</w:t>
      </w:r>
      <w:r>
        <w:rPr>
          <w:rFonts w:hint="eastAsia"/>
          <w:szCs w:val="24"/>
          <w:highlight w:val="none"/>
        </w:rPr>
        <w:t>2</w:t>
      </w:r>
      <w:r>
        <w:rPr>
          <w:szCs w:val="24"/>
          <w:highlight w:val="none"/>
        </w:rPr>
        <w:t>科</w:t>
      </w:r>
      <w:r>
        <w:rPr>
          <w:rFonts w:hint="eastAsia"/>
          <w:szCs w:val="24"/>
          <w:highlight w:val="none"/>
        </w:rPr>
        <w:t>3</w:t>
      </w:r>
      <w:r>
        <w:rPr>
          <w:szCs w:val="24"/>
          <w:highlight w:val="none"/>
        </w:rPr>
        <w:t>种，爬行类1目</w:t>
      </w:r>
      <w:r>
        <w:rPr>
          <w:rFonts w:hint="eastAsia"/>
          <w:szCs w:val="24"/>
          <w:highlight w:val="none"/>
          <w:lang w:val="en-US" w:eastAsia="zh-CN"/>
        </w:rPr>
        <w:t>3</w:t>
      </w:r>
      <w:r>
        <w:rPr>
          <w:szCs w:val="24"/>
          <w:highlight w:val="none"/>
        </w:rPr>
        <w:t>科</w:t>
      </w:r>
      <w:r>
        <w:rPr>
          <w:rFonts w:hint="eastAsia"/>
          <w:szCs w:val="24"/>
          <w:highlight w:val="none"/>
          <w:lang w:val="en-US" w:eastAsia="zh-CN"/>
        </w:rPr>
        <w:t>3</w:t>
      </w:r>
      <w:r>
        <w:rPr>
          <w:szCs w:val="24"/>
          <w:highlight w:val="none"/>
        </w:rPr>
        <w:t>种，鸟类</w:t>
      </w:r>
      <w:r>
        <w:rPr>
          <w:rFonts w:hint="eastAsia"/>
          <w:szCs w:val="24"/>
          <w:highlight w:val="none"/>
        </w:rPr>
        <w:t>1</w:t>
      </w:r>
      <w:r>
        <w:rPr>
          <w:rFonts w:hint="eastAsia"/>
          <w:szCs w:val="24"/>
          <w:highlight w:val="none"/>
          <w:lang w:val="en-US" w:eastAsia="zh-CN"/>
        </w:rPr>
        <w:t>3</w:t>
      </w:r>
      <w:r>
        <w:rPr>
          <w:szCs w:val="24"/>
          <w:highlight w:val="none"/>
        </w:rPr>
        <w:t>目</w:t>
      </w:r>
      <w:r>
        <w:rPr>
          <w:rFonts w:hint="eastAsia"/>
          <w:szCs w:val="24"/>
          <w:highlight w:val="none"/>
          <w:lang w:val="en-US" w:eastAsia="zh-CN"/>
        </w:rPr>
        <w:t>27</w:t>
      </w:r>
      <w:r>
        <w:rPr>
          <w:szCs w:val="24"/>
          <w:highlight w:val="none"/>
        </w:rPr>
        <w:t>科</w:t>
      </w:r>
      <w:r>
        <w:rPr>
          <w:rFonts w:hint="eastAsia"/>
          <w:szCs w:val="24"/>
          <w:highlight w:val="none"/>
          <w:lang w:val="en-US" w:eastAsia="zh-CN"/>
        </w:rPr>
        <w:t>60</w:t>
      </w:r>
      <w:r>
        <w:rPr>
          <w:szCs w:val="24"/>
          <w:highlight w:val="none"/>
        </w:rPr>
        <w:t>种，兽类</w:t>
      </w:r>
      <w:r>
        <w:rPr>
          <w:rFonts w:hint="eastAsia"/>
          <w:szCs w:val="24"/>
          <w:highlight w:val="none"/>
          <w:lang w:val="en-US" w:eastAsia="zh-CN"/>
        </w:rPr>
        <w:t>4</w:t>
      </w:r>
      <w:r>
        <w:rPr>
          <w:szCs w:val="24"/>
          <w:highlight w:val="none"/>
        </w:rPr>
        <w:t>目</w:t>
      </w:r>
      <w:r>
        <w:rPr>
          <w:rFonts w:hint="eastAsia"/>
          <w:szCs w:val="24"/>
          <w:highlight w:val="none"/>
          <w:lang w:val="en-US" w:eastAsia="zh-CN"/>
        </w:rPr>
        <w:t>11</w:t>
      </w:r>
      <w:r>
        <w:rPr>
          <w:szCs w:val="24"/>
          <w:highlight w:val="none"/>
        </w:rPr>
        <w:t>科</w:t>
      </w:r>
      <w:r>
        <w:rPr>
          <w:rFonts w:hint="eastAsia"/>
          <w:szCs w:val="24"/>
          <w:highlight w:val="none"/>
          <w:lang w:val="en-US" w:eastAsia="zh-CN"/>
        </w:rPr>
        <w:t>17</w:t>
      </w:r>
      <w:r>
        <w:rPr>
          <w:szCs w:val="24"/>
          <w:highlight w:val="none"/>
        </w:rPr>
        <w:t>种</w:t>
      </w:r>
      <w:r>
        <w:rPr>
          <w:rFonts w:hint="eastAsia"/>
          <w:szCs w:val="24"/>
          <w:highlight w:val="none"/>
        </w:rPr>
        <w:t>（详见附表2）</w:t>
      </w:r>
      <w:r>
        <w:rPr>
          <w:szCs w:val="24"/>
          <w:highlight w:val="none"/>
        </w:rPr>
        <w:t>。</w:t>
      </w:r>
    </w:p>
    <w:p>
      <w:pPr>
        <w:ind w:firstLine="0" w:firstLineChars="0"/>
        <w:rPr>
          <w:rFonts w:cs="Times New Roman"/>
        </w:rPr>
      </w:pPr>
      <w:r>
        <w:rPr>
          <w:rFonts w:cs="Times New Roman"/>
          <w:b/>
          <w:bCs/>
        </w:rPr>
        <w:t>4.5.1.</w:t>
      </w:r>
      <w:r>
        <w:rPr>
          <w:rFonts w:hint="eastAsia" w:cs="Times New Roman"/>
          <w:b/>
          <w:bCs/>
          <w:lang w:val="en-US" w:eastAsia="zh-CN"/>
        </w:rPr>
        <w:t>3</w:t>
      </w:r>
      <w:r>
        <w:rPr>
          <w:rFonts w:cs="Times New Roman"/>
          <w:b/>
          <w:bCs/>
        </w:rPr>
        <w:t>.1鱼类</w:t>
      </w:r>
    </w:p>
    <w:p>
      <w:pPr>
        <w:ind w:firstLine="480"/>
        <w:rPr>
          <w:rFonts w:hint="eastAsia" w:eastAsia="宋体"/>
          <w:highlight w:val="none"/>
          <w:lang w:val="en-US" w:eastAsia="zh-CN"/>
        </w:rPr>
      </w:pPr>
      <w:r>
        <w:rPr>
          <w:rFonts w:cs="Times New Roman"/>
        </w:rPr>
        <w:t>通过调查、访问和资料收集，确认评价区共有鱼类</w:t>
      </w:r>
      <w:r>
        <w:rPr>
          <w:rFonts w:hint="eastAsia" w:cs="Times New Roman"/>
          <w:lang w:val="en-US" w:eastAsia="zh-CN"/>
        </w:rPr>
        <w:t>2</w:t>
      </w:r>
      <w:r>
        <w:rPr>
          <w:rFonts w:cs="Times New Roman"/>
        </w:rPr>
        <w:t>种，隶属于</w:t>
      </w:r>
      <w:r>
        <w:rPr>
          <w:rFonts w:hint="eastAsia" w:cs="Times New Roman"/>
          <w:lang w:val="en-US" w:eastAsia="zh-CN"/>
        </w:rPr>
        <w:t>1</w:t>
      </w:r>
      <w:r>
        <w:rPr>
          <w:rFonts w:cs="Times New Roman"/>
        </w:rPr>
        <w:t>目</w:t>
      </w:r>
      <w:r>
        <w:rPr>
          <w:rFonts w:hint="eastAsia" w:cs="Times New Roman"/>
          <w:lang w:val="en-US" w:eastAsia="zh-CN"/>
        </w:rPr>
        <w:t>2</w:t>
      </w:r>
      <w:r>
        <w:rPr>
          <w:rFonts w:cs="Times New Roman"/>
        </w:rPr>
        <w:t>科。</w:t>
      </w:r>
      <w:r>
        <w:rPr>
          <w:rFonts w:cs="Times New Roman"/>
          <w:highlight w:val="none"/>
        </w:rPr>
        <w:t>评价区分布的鱼类</w:t>
      </w:r>
      <w:r>
        <w:rPr>
          <w:rFonts w:hint="eastAsia" w:cs="Times New Roman"/>
          <w:highlight w:val="none"/>
        </w:rPr>
        <w:t>均为鲤形目，为东方高原鳅（</w:t>
      </w:r>
      <w:r>
        <w:rPr>
          <w:rFonts w:hint="eastAsia" w:cs="Times New Roman"/>
          <w:i/>
          <w:iCs/>
          <w:highlight w:val="none"/>
        </w:rPr>
        <w:t>Triplophysa orientalis</w:t>
      </w:r>
      <w:r>
        <w:rPr>
          <w:rFonts w:hint="eastAsia" w:cs="Times New Roman"/>
          <w:highlight w:val="none"/>
        </w:rPr>
        <w:t>）和大渡裸裂尻（</w:t>
      </w:r>
      <w:r>
        <w:rPr>
          <w:rFonts w:hint="eastAsia" w:cs="Times New Roman"/>
          <w:i/>
          <w:iCs/>
          <w:highlight w:val="none"/>
        </w:rPr>
        <w:t>Schizopygopsis malacanthus</w:t>
      </w:r>
      <w:r>
        <w:rPr>
          <w:rFonts w:hint="eastAsia" w:cs="Times New Roman"/>
          <w:highlight w:val="none"/>
        </w:rPr>
        <w:t>）2种。</w:t>
      </w:r>
    </w:p>
    <w:p>
      <w:pPr>
        <w:pStyle w:val="8"/>
        <w:numPr>
          <w:ilvl w:val="4"/>
          <w:numId w:val="0"/>
        </w:numPr>
        <w:rPr>
          <w:rFonts w:cs="Times New Roman"/>
        </w:rPr>
      </w:pPr>
      <w:r>
        <w:rPr>
          <w:rFonts w:cs="Times New Roman"/>
        </w:rPr>
        <w:t>4.5.1.</w:t>
      </w:r>
      <w:r>
        <w:rPr>
          <w:rFonts w:hint="eastAsia" w:cs="Times New Roman"/>
          <w:lang w:val="en-US" w:eastAsia="zh-CN"/>
        </w:rPr>
        <w:t>3</w:t>
      </w:r>
      <w:r>
        <w:rPr>
          <w:rFonts w:cs="Times New Roman"/>
        </w:rPr>
        <w:t>.2两栖类</w:t>
      </w:r>
    </w:p>
    <w:p>
      <w:pPr>
        <w:ind w:firstLine="480"/>
        <w:rPr>
          <w:rFonts w:hint="eastAsia" w:cs="Times New Roman"/>
          <w:highlight w:val="none"/>
        </w:rPr>
      </w:pPr>
      <w:r>
        <w:rPr>
          <w:rFonts w:hint="eastAsia" w:cs="Times New Roman"/>
          <w:highlight w:val="none"/>
        </w:rPr>
        <w:t>评价区有两栖动物</w:t>
      </w:r>
      <w:r>
        <w:rPr>
          <w:rFonts w:hint="eastAsia" w:cs="Times New Roman"/>
          <w:highlight w:val="none"/>
          <w:lang w:val="en-US" w:eastAsia="zh-CN"/>
        </w:rPr>
        <w:t>1</w:t>
      </w:r>
      <w:r>
        <w:rPr>
          <w:rFonts w:hint="eastAsia" w:cs="Times New Roman"/>
          <w:highlight w:val="none"/>
        </w:rPr>
        <w:t>目</w:t>
      </w:r>
      <w:r>
        <w:rPr>
          <w:rFonts w:hint="eastAsia" w:cs="Times New Roman"/>
          <w:highlight w:val="none"/>
          <w:lang w:val="en-US" w:eastAsia="zh-CN"/>
        </w:rPr>
        <w:t>2</w:t>
      </w:r>
      <w:r>
        <w:rPr>
          <w:rFonts w:hint="eastAsia" w:cs="Times New Roman"/>
          <w:highlight w:val="none"/>
        </w:rPr>
        <w:t>科</w:t>
      </w:r>
      <w:r>
        <w:rPr>
          <w:rFonts w:hint="eastAsia" w:cs="Times New Roman"/>
          <w:highlight w:val="none"/>
          <w:lang w:val="en-US" w:eastAsia="zh-CN"/>
        </w:rPr>
        <w:t>3</w:t>
      </w:r>
      <w:r>
        <w:rPr>
          <w:rFonts w:hint="eastAsia" w:cs="Times New Roman"/>
          <w:highlight w:val="none"/>
        </w:rPr>
        <w:t>种。从两栖动物的区系来看，该区目前已知有分布的</w:t>
      </w:r>
      <w:r>
        <w:rPr>
          <w:rFonts w:hint="eastAsia" w:cs="Times New Roman"/>
          <w:highlight w:val="none"/>
          <w:lang w:val="en-US" w:eastAsia="zh-CN"/>
        </w:rPr>
        <w:t>3</w:t>
      </w:r>
      <w:r>
        <w:rPr>
          <w:rFonts w:hint="eastAsia" w:cs="Times New Roman"/>
          <w:highlight w:val="none"/>
        </w:rPr>
        <w:t>种两栖类</w:t>
      </w:r>
      <w:r>
        <w:rPr>
          <w:rFonts w:hint="eastAsia" w:cs="Times New Roman"/>
          <w:highlight w:val="none"/>
          <w:lang w:val="en-US" w:eastAsia="zh-CN"/>
        </w:rPr>
        <w:t>均为</w:t>
      </w:r>
      <w:r>
        <w:rPr>
          <w:rFonts w:hint="eastAsia" w:cs="Times New Roman"/>
          <w:highlight w:val="none"/>
        </w:rPr>
        <w:t>古北界。从物种分布区类型看</w:t>
      </w:r>
      <w:r>
        <w:rPr>
          <w:rFonts w:hint="eastAsia" w:cs="Times New Roman"/>
          <w:highlight w:val="none"/>
          <w:lang w:val="en-US" w:eastAsia="zh-CN"/>
        </w:rPr>
        <w:t>均为</w:t>
      </w:r>
      <w:r>
        <w:rPr>
          <w:rFonts w:hint="eastAsia" w:cs="Times New Roman"/>
          <w:highlight w:val="none"/>
        </w:rPr>
        <w:t>高地型：高原林蛙（</w:t>
      </w:r>
      <w:r>
        <w:rPr>
          <w:rFonts w:hint="eastAsia" w:cs="Times New Roman"/>
          <w:i/>
          <w:iCs/>
          <w:highlight w:val="none"/>
        </w:rPr>
        <w:t>Rana kukunoris</w:t>
      </w:r>
      <w:r>
        <w:rPr>
          <w:rFonts w:hint="eastAsia" w:cs="Times New Roman"/>
          <w:highlight w:val="none"/>
        </w:rPr>
        <w:t>）、倭蛙</w:t>
      </w:r>
      <w:r>
        <w:rPr>
          <w:rFonts w:hint="eastAsia" w:cs="Times New Roman"/>
          <w:highlight w:val="none"/>
          <w:lang w:eastAsia="zh-CN"/>
        </w:rPr>
        <w:t>（</w:t>
      </w:r>
      <w:r>
        <w:rPr>
          <w:rFonts w:hint="eastAsia" w:cs="Times New Roman"/>
          <w:i/>
          <w:iCs/>
          <w:highlight w:val="none"/>
        </w:rPr>
        <w:t>Nanorana  pleskei</w:t>
      </w:r>
      <w:r>
        <w:rPr>
          <w:rFonts w:hint="eastAsia" w:cs="Times New Roman"/>
          <w:highlight w:val="none"/>
          <w:lang w:eastAsia="zh-CN"/>
        </w:rPr>
        <w:t>）、</w:t>
      </w:r>
      <w:r>
        <w:rPr>
          <w:rFonts w:hint="eastAsia" w:cs="Times New Roman"/>
          <w:highlight w:val="none"/>
        </w:rPr>
        <w:t>岷山蟾蜍（</w:t>
      </w:r>
      <w:r>
        <w:rPr>
          <w:rFonts w:hint="eastAsia" w:cs="Times New Roman"/>
          <w:i/>
          <w:iCs/>
          <w:highlight w:val="none"/>
        </w:rPr>
        <w:t>Bufo minshannicus</w:t>
      </w:r>
      <w:r>
        <w:rPr>
          <w:rFonts w:hint="eastAsia" w:cs="Times New Roman"/>
          <w:highlight w:val="none"/>
        </w:rPr>
        <w:t>）。</w:t>
      </w:r>
    </w:p>
    <w:p>
      <w:pPr>
        <w:ind w:firstLine="480"/>
        <w:rPr>
          <w:rFonts w:cs="Times New Roman"/>
          <w:highlight w:val="none"/>
        </w:rPr>
      </w:pPr>
      <w:r>
        <w:rPr>
          <w:rFonts w:hint="eastAsia" w:cs="Times New Roman"/>
          <w:highlight w:val="none"/>
        </w:rPr>
        <w:t>根据《中国动物志两栖纲》对两栖类生态类型的记述，评价区岷山蟾蜍属于陆栖类型的穴居静水繁殖型；高原林蛙</w:t>
      </w:r>
      <w:r>
        <w:rPr>
          <w:rFonts w:hint="eastAsia" w:cs="Times New Roman"/>
          <w:highlight w:val="none"/>
          <w:lang w:val="en-US" w:eastAsia="zh-CN"/>
        </w:rPr>
        <w:t>和倭蛙</w:t>
      </w:r>
      <w:r>
        <w:rPr>
          <w:rFonts w:hint="eastAsia" w:cs="Times New Roman"/>
          <w:highlight w:val="none"/>
        </w:rPr>
        <w:t>属于水栖类型的静水类型。</w:t>
      </w:r>
    </w:p>
    <w:p>
      <w:pPr>
        <w:pStyle w:val="8"/>
        <w:numPr>
          <w:ilvl w:val="4"/>
          <w:numId w:val="0"/>
        </w:numPr>
        <w:rPr>
          <w:szCs w:val="24"/>
          <w:highlight w:val="yellow"/>
        </w:rPr>
      </w:pPr>
      <w:r>
        <w:rPr>
          <w:rFonts w:cs="Times New Roman"/>
        </w:rPr>
        <w:t>4.5.1.</w:t>
      </w:r>
      <w:r>
        <w:rPr>
          <w:rFonts w:hint="eastAsia" w:cs="Times New Roman"/>
          <w:lang w:val="en-US" w:eastAsia="zh-CN"/>
        </w:rPr>
        <w:t>3</w:t>
      </w:r>
      <w:r>
        <w:rPr>
          <w:rFonts w:cs="Times New Roman"/>
        </w:rPr>
        <w:t>.</w:t>
      </w:r>
      <w:r>
        <w:rPr>
          <w:rFonts w:hint="eastAsia" w:cs="Times New Roman"/>
          <w:lang w:val="en-US" w:eastAsia="zh-CN"/>
        </w:rPr>
        <w:t>3</w:t>
      </w:r>
      <w:r>
        <w:rPr>
          <w:rFonts w:cs="Times New Roman"/>
        </w:rPr>
        <w:t>爬行类</w:t>
      </w:r>
    </w:p>
    <w:p>
      <w:pPr>
        <w:ind w:firstLine="480"/>
        <w:rPr>
          <w:rFonts w:hint="eastAsia" w:cs="Times New Roman"/>
          <w:highlight w:val="none"/>
        </w:rPr>
      </w:pPr>
      <w:r>
        <w:rPr>
          <w:rFonts w:hint="eastAsia" w:cs="Times New Roman"/>
          <w:highlight w:val="none"/>
        </w:rPr>
        <w:t>评价区地处高寒地带，爬行类极其稀少，调查中并未发现，通过查阅资料发现，在评价区内爬行类仅1目3科3种，分别为秦岭滑蜥（</w:t>
      </w:r>
      <w:r>
        <w:rPr>
          <w:rFonts w:hint="eastAsia" w:cs="Times New Roman"/>
          <w:i/>
          <w:iCs/>
          <w:highlight w:val="none"/>
        </w:rPr>
        <w:t>Scincella tsinlingensis</w:t>
      </w:r>
      <w:r>
        <w:rPr>
          <w:rFonts w:hint="eastAsia" w:cs="Times New Roman"/>
          <w:highlight w:val="none"/>
        </w:rPr>
        <w:t>）、白条锦蛇（</w:t>
      </w:r>
      <w:r>
        <w:rPr>
          <w:rFonts w:hint="eastAsia" w:cs="Times New Roman"/>
          <w:i/>
          <w:iCs/>
          <w:highlight w:val="none"/>
        </w:rPr>
        <w:t>Elaphe dione</w:t>
      </w:r>
      <w:r>
        <w:rPr>
          <w:rFonts w:hint="eastAsia" w:cs="Times New Roman"/>
          <w:highlight w:val="none"/>
        </w:rPr>
        <w:t>）及高原蝮（</w:t>
      </w:r>
      <w:r>
        <w:rPr>
          <w:rFonts w:hint="eastAsia" w:cs="Times New Roman"/>
          <w:i/>
          <w:iCs/>
          <w:highlight w:val="none"/>
        </w:rPr>
        <w:t>Pelodiscus sinensis</w:t>
      </w:r>
      <w:r>
        <w:rPr>
          <w:rFonts w:hint="eastAsia" w:cs="Times New Roman"/>
          <w:highlight w:val="none"/>
        </w:rPr>
        <w:t>）。高原蝮和秦岭滑蜥属于东洋界种类，其分布型为喜马拉雅-横断山型；白条锦蛇属于古北界种类，其分布型为古北型。</w:t>
      </w:r>
    </w:p>
    <w:p>
      <w:pPr>
        <w:ind w:firstLine="480"/>
        <w:rPr>
          <w:rFonts w:cs="Times New Roman"/>
          <w:highlight w:val="none"/>
        </w:rPr>
      </w:pPr>
      <w:r>
        <w:rPr>
          <w:rFonts w:hint="eastAsia" w:cs="Times New Roman"/>
          <w:highlight w:val="none"/>
        </w:rPr>
        <w:t>根据《四川爬行类原色图鉴》对爬行类生态类型的记述，高原蝮、秦岭滑蜥及白条锦蛇的生态类型属于陆栖类型的地上类型。</w:t>
      </w:r>
    </w:p>
    <w:p>
      <w:pPr>
        <w:pStyle w:val="8"/>
        <w:numPr>
          <w:ilvl w:val="4"/>
          <w:numId w:val="0"/>
        </w:numPr>
        <w:rPr>
          <w:rFonts w:cs="Times New Roman"/>
        </w:rPr>
      </w:pPr>
      <w:r>
        <w:rPr>
          <w:rFonts w:cs="Times New Roman"/>
        </w:rPr>
        <w:t>4.5.1.</w:t>
      </w:r>
      <w:r>
        <w:rPr>
          <w:rFonts w:hint="eastAsia" w:cs="Times New Roman"/>
          <w:lang w:val="en-US" w:eastAsia="zh-CN"/>
        </w:rPr>
        <w:t>3</w:t>
      </w:r>
      <w:r>
        <w:rPr>
          <w:rFonts w:cs="Times New Roman"/>
        </w:rPr>
        <w:t>.</w:t>
      </w:r>
      <w:r>
        <w:rPr>
          <w:rFonts w:hint="eastAsia" w:cs="Times New Roman"/>
          <w:lang w:val="en-US" w:eastAsia="zh-CN"/>
        </w:rPr>
        <w:t>4</w:t>
      </w:r>
      <w:r>
        <w:rPr>
          <w:rFonts w:cs="Times New Roman"/>
        </w:rPr>
        <w:t>鸟类</w:t>
      </w:r>
    </w:p>
    <w:p>
      <w:pPr>
        <w:ind w:firstLine="480"/>
        <w:rPr>
          <w:rFonts w:cs="Times New Roman"/>
          <w:highlight w:val="yellow"/>
        </w:rPr>
      </w:pPr>
      <w:r>
        <w:rPr>
          <w:rFonts w:cs="Times New Roman"/>
          <w:highlight w:val="none"/>
        </w:rPr>
        <w:t>评价区鸟类共有</w:t>
      </w:r>
      <w:r>
        <w:rPr>
          <w:rFonts w:hint="eastAsia"/>
          <w:szCs w:val="24"/>
          <w:highlight w:val="none"/>
        </w:rPr>
        <w:t>1</w:t>
      </w:r>
      <w:r>
        <w:rPr>
          <w:rFonts w:hint="eastAsia"/>
          <w:szCs w:val="24"/>
          <w:highlight w:val="none"/>
          <w:lang w:val="en-US" w:eastAsia="zh-CN"/>
        </w:rPr>
        <w:t>3</w:t>
      </w:r>
      <w:r>
        <w:rPr>
          <w:szCs w:val="24"/>
          <w:highlight w:val="none"/>
        </w:rPr>
        <w:t>目</w:t>
      </w:r>
      <w:r>
        <w:rPr>
          <w:rFonts w:hint="eastAsia"/>
          <w:szCs w:val="24"/>
          <w:highlight w:val="none"/>
          <w:lang w:val="en-US" w:eastAsia="zh-CN"/>
        </w:rPr>
        <w:t>27</w:t>
      </w:r>
      <w:r>
        <w:rPr>
          <w:szCs w:val="24"/>
          <w:highlight w:val="none"/>
        </w:rPr>
        <w:t>科</w:t>
      </w:r>
      <w:r>
        <w:rPr>
          <w:rFonts w:hint="eastAsia"/>
          <w:szCs w:val="24"/>
          <w:highlight w:val="none"/>
          <w:lang w:val="en-US" w:eastAsia="zh-CN"/>
        </w:rPr>
        <w:t>60</w:t>
      </w:r>
      <w:r>
        <w:rPr>
          <w:szCs w:val="24"/>
          <w:highlight w:val="none"/>
        </w:rPr>
        <w:t>种</w:t>
      </w:r>
      <w:r>
        <w:rPr>
          <w:rFonts w:cs="Times New Roman"/>
          <w:highlight w:val="none"/>
        </w:rPr>
        <w:t>，其中雀形目1</w:t>
      </w:r>
      <w:r>
        <w:rPr>
          <w:rFonts w:hint="eastAsia" w:cs="Times New Roman"/>
          <w:highlight w:val="none"/>
          <w:lang w:val="en-US" w:eastAsia="zh-CN"/>
        </w:rPr>
        <w:t>3</w:t>
      </w:r>
      <w:r>
        <w:rPr>
          <w:rFonts w:cs="Times New Roman"/>
          <w:highlight w:val="none"/>
        </w:rPr>
        <w:t>科</w:t>
      </w:r>
      <w:r>
        <w:rPr>
          <w:rFonts w:hint="eastAsia" w:cs="Times New Roman"/>
          <w:highlight w:val="none"/>
          <w:lang w:val="en-US" w:eastAsia="zh-CN"/>
        </w:rPr>
        <w:t>3</w:t>
      </w:r>
      <w:r>
        <w:rPr>
          <w:rFonts w:cs="Times New Roman"/>
          <w:highlight w:val="none"/>
        </w:rPr>
        <w:t>1种，占总科数的</w:t>
      </w:r>
      <w:r>
        <w:rPr>
          <w:rFonts w:hint="eastAsia" w:cs="Times New Roman"/>
          <w:highlight w:val="none"/>
          <w:lang w:val="en-US" w:eastAsia="zh-CN"/>
        </w:rPr>
        <w:t>48.15</w:t>
      </w:r>
      <w:r>
        <w:rPr>
          <w:rFonts w:cs="Times New Roman"/>
          <w:highlight w:val="none"/>
        </w:rPr>
        <w:t>%，占总种数的5</w:t>
      </w:r>
      <w:r>
        <w:rPr>
          <w:rFonts w:hint="eastAsia" w:cs="Times New Roman"/>
          <w:highlight w:val="none"/>
          <w:lang w:val="en-US" w:eastAsia="zh-CN"/>
        </w:rPr>
        <w:t>1.67</w:t>
      </w:r>
      <w:r>
        <w:rPr>
          <w:rFonts w:cs="Times New Roman"/>
          <w:highlight w:val="none"/>
        </w:rPr>
        <w:t>%；非雀形目1</w:t>
      </w:r>
      <w:r>
        <w:rPr>
          <w:rFonts w:hint="eastAsia" w:cs="Times New Roman"/>
          <w:highlight w:val="none"/>
          <w:lang w:val="en-US" w:eastAsia="zh-CN"/>
        </w:rPr>
        <w:t>4</w:t>
      </w:r>
      <w:r>
        <w:rPr>
          <w:rFonts w:cs="Times New Roman"/>
          <w:highlight w:val="none"/>
        </w:rPr>
        <w:t>科29种，占总科数的</w:t>
      </w:r>
      <w:r>
        <w:rPr>
          <w:rFonts w:hint="eastAsia" w:cs="Times New Roman"/>
          <w:highlight w:val="none"/>
          <w:lang w:val="en-US" w:eastAsia="zh-CN"/>
        </w:rPr>
        <w:t>51.85</w:t>
      </w:r>
      <w:r>
        <w:rPr>
          <w:rFonts w:cs="Times New Roman"/>
          <w:highlight w:val="none"/>
        </w:rPr>
        <w:t>%，占总种数的4</w:t>
      </w:r>
      <w:r>
        <w:rPr>
          <w:rFonts w:hint="eastAsia" w:cs="Times New Roman"/>
          <w:highlight w:val="none"/>
          <w:lang w:val="en-US" w:eastAsia="zh-CN"/>
        </w:rPr>
        <w:t>8.3</w:t>
      </w:r>
      <w:r>
        <w:rPr>
          <w:rFonts w:cs="Times New Roman"/>
          <w:highlight w:val="none"/>
        </w:rPr>
        <w:t>3%。另外，从居留型上来看，评价区现有留鸟占绝对优势，有</w:t>
      </w:r>
      <w:r>
        <w:rPr>
          <w:rFonts w:hint="eastAsia" w:cs="Times New Roman"/>
          <w:highlight w:val="none"/>
          <w:lang w:val="en-US" w:eastAsia="zh-CN"/>
        </w:rPr>
        <w:t>35</w:t>
      </w:r>
      <w:r>
        <w:rPr>
          <w:rFonts w:cs="Times New Roman"/>
          <w:highlight w:val="none"/>
        </w:rPr>
        <w:t>种；夏候鸟</w:t>
      </w:r>
      <w:r>
        <w:rPr>
          <w:rFonts w:hint="eastAsia" w:cs="Times New Roman"/>
          <w:highlight w:val="none"/>
          <w:lang w:val="en-US" w:eastAsia="zh-CN"/>
        </w:rPr>
        <w:t>19</w:t>
      </w:r>
      <w:r>
        <w:rPr>
          <w:rFonts w:cs="Times New Roman"/>
          <w:highlight w:val="none"/>
        </w:rPr>
        <w:t>种，冬候鸟</w:t>
      </w:r>
      <w:r>
        <w:rPr>
          <w:rFonts w:hint="eastAsia" w:cs="Times New Roman"/>
          <w:highlight w:val="none"/>
          <w:lang w:val="en-US" w:eastAsia="zh-CN"/>
        </w:rPr>
        <w:t>4</w:t>
      </w:r>
      <w:r>
        <w:rPr>
          <w:rFonts w:cs="Times New Roman"/>
          <w:highlight w:val="none"/>
        </w:rPr>
        <w:t>种，旅鸟2种。</w:t>
      </w:r>
    </w:p>
    <w:p>
      <w:pPr>
        <w:ind w:firstLine="480"/>
        <w:rPr>
          <w:rFonts w:cs="Times New Roman"/>
          <w:highlight w:val="yellow"/>
        </w:rPr>
      </w:pPr>
      <w:r>
        <w:rPr>
          <w:rFonts w:cs="Times New Roman"/>
          <w:highlight w:val="none"/>
        </w:rPr>
        <w:t>根据张荣祖的《中国动物地理区划》（2015），评价区地处古北界青藏区青海藏南亚区。评价区有分布的</w:t>
      </w:r>
      <w:r>
        <w:rPr>
          <w:rFonts w:hint="eastAsia" w:cs="Times New Roman"/>
          <w:highlight w:val="none"/>
          <w:lang w:val="en-US" w:eastAsia="zh-CN"/>
        </w:rPr>
        <w:t>60</w:t>
      </w:r>
      <w:r>
        <w:rPr>
          <w:rFonts w:cs="Times New Roman"/>
          <w:highlight w:val="none"/>
        </w:rPr>
        <w:t>种鸟类中古北界种类有</w:t>
      </w:r>
      <w:r>
        <w:rPr>
          <w:rFonts w:hint="eastAsia" w:cs="Times New Roman"/>
          <w:highlight w:val="none"/>
          <w:lang w:val="en-US" w:eastAsia="zh-CN"/>
        </w:rPr>
        <w:t>24</w:t>
      </w:r>
      <w:r>
        <w:rPr>
          <w:rFonts w:cs="Times New Roman"/>
          <w:highlight w:val="none"/>
        </w:rPr>
        <w:t>种，东洋界种类有2</w:t>
      </w:r>
      <w:r>
        <w:rPr>
          <w:rFonts w:hint="eastAsia" w:cs="Times New Roman"/>
          <w:highlight w:val="none"/>
          <w:lang w:val="en-US" w:eastAsia="zh-CN"/>
        </w:rPr>
        <w:t>3</w:t>
      </w:r>
      <w:r>
        <w:rPr>
          <w:rFonts w:cs="Times New Roman"/>
          <w:highlight w:val="none"/>
        </w:rPr>
        <w:t>种，广布种有13种。评价区鸟类以喜马拉雅-横断山型的种类数量最为丰富，有</w:t>
      </w:r>
      <w:r>
        <w:rPr>
          <w:rFonts w:hint="eastAsia" w:cs="Times New Roman"/>
          <w:highlight w:val="none"/>
          <w:lang w:val="en-US" w:eastAsia="zh-CN"/>
        </w:rPr>
        <w:t>17</w:t>
      </w:r>
      <w:r>
        <w:rPr>
          <w:rFonts w:cs="Times New Roman"/>
          <w:highlight w:val="none"/>
        </w:rPr>
        <w:t>种；其次为广布型，有13种；古北型有</w:t>
      </w:r>
      <w:r>
        <w:rPr>
          <w:rFonts w:hint="eastAsia" w:cs="Times New Roman"/>
          <w:highlight w:val="none"/>
          <w:lang w:val="en-US" w:eastAsia="zh-CN"/>
        </w:rPr>
        <w:t>8</w:t>
      </w:r>
      <w:r>
        <w:rPr>
          <w:rFonts w:cs="Times New Roman"/>
          <w:highlight w:val="none"/>
        </w:rPr>
        <w:t>种；全北型有</w:t>
      </w:r>
      <w:r>
        <w:rPr>
          <w:rFonts w:hint="eastAsia" w:cs="Times New Roman"/>
          <w:highlight w:val="none"/>
          <w:lang w:val="en-US" w:eastAsia="zh-CN"/>
        </w:rPr>
        <w:t>8</w:t>
      </w:r>
      <w:r>
        <w:rPr>
          <w:rFonts w:cs="Times New Roman"/>
          <w:highlight w:val="none"/>
        </w:rPr>
        <w:t>种；其余分布型的种类及占地均较低。</w:t>
      </w:r>
    </w:p>
    <w:p>
      <w:pPr>
        <w:ind w:firstLine="480"/>
        <w:rPr>
          <w:rFonts w:cs="Times New Roman"/>
          <w:highlight w:val="none"/>
        </w:rPr>
      </w:pPr>
      <w:r>
        <w:rPr>
          <w:rFonts w:cs="Times New Roman"/>
          <w:highlight w:val="none"/>
        </w:rPr>
        <w:t>按照生态类群来分，评价区有游禽的䴙䴘目和雁形目，涉禽的鹳形目、鹤形目和鸻形目，陆禽包含鸡形目和鸽形目，猛禽包含了</w:t>
      </w:r>
      <w:r>
        <w:rPr>
          <w:rFonts w:hint="eastAsia" w:cs="Times New Roman"/>
          <w:highlight w:val="none"/>
          <w:lang w:eastAsia="zh-CN"/>
        </w:rPr>
        <w:t>鹰形目</w:t>
      </w:r>
      <w:r>
        <w:rPr>
          <w:rFonts w:cs="Times New Roman"/>
          <w:highlight w:val="none"/>
        </w:rPr>
        <w:t>和鸮形目，攀禽包含了鹃形目</w:t>
      </w:r>
      <w:r>
        <w:rPr>
          <w:rFonts w:hint="eastAsia" w:cs="Times New Roman"/>
          <w:highlight w:val="none"/>
          <w:lang w:val="en-US" w:eastAsia="zh-CN"/>
        </w:rPr>
        <w:t>和</w:t>
      </w:r>
      <w:r>
        <w:rPr>
          <w:rFonts w:cs="Times New Roman"/>
          <w:highlight w:val="none"/>
        </w:rPr>
        <w:t>戴胜目，鸣禽即雀形目的种类。</w:t>
      </w:r>
    </w:p>
    <w:p>
      <w:pPr>
        <w:ind w:firstLine="480"/>
        <w:rPr>
          <w:rFonts w:hint="eastAsia" w:cs="Times New Roman"/>
          <w:highlight w:val="none"/>
        </w:rPr>
      </w:pPr>
      <w:r>
        <w:rPr>
          <w:rFonts w:hint="eastAsia" w:cs="Times New Roman"/>
          <w:highlight w:val="none"/>
        </w:rPr>
        <w:t>根据评价区内生境特点及鸟类的生活习性，评价区内的鸟类栖息地类型可以划分为针叶林、湿地、高山灌丛草甸和流石滩等几种类型，其中针叶林、湿地、高山灌丛草甸这些生境的鸟类种类及种群数量较多，流石滩生境较少。</w:t>
      </w:r>
    </w:p>
    <w:p>
      <w:pPr>
        <w:ind w:firstLine="480"/>
        <w:rPr>
          <w:rFonts w:cs="Times New Roman"/>
          <w:highlight w:val="none"/>
        </w:rPr>
      </w:pPr>
      <w:r>
        <w:rPr>
          <w:rFonts w:hint="eastAsia" w:cs="Times New Roman"/>
          <w:highlight w:val="none"/>
        </w:rPr>
        <w:t>评价区有国家I级重点保护鸟类1种，即胡兀鹫（</w:t>
      </w:r>
      <w:r>
        <w:rPr>
          <w:rFonts w:hint="eastAsia" w:cs="Times New Roman"/>
          <w:i/>
          <w:iCs/>
          <w:highlight w:val="none"/>
        </w:rPr>
        <w:t>Gypaetus barbatus</w:t>
      </w:r>
      <w:r>
        <w:rPr>
          <w:rFonts w:hint="eastAsia" w:cs="Times New Roman"/>
          <w:highlight w:val="none"/>
        </w:rPr>
        <w:t>）；有国家重点II级保护鸟类6种，包括大鵟（</w:t>
      </w:r>
      <w:r>
        <w:rPr>
          <w:rFonts w:hint="eastAsia" w:ascii="Times New Roman" w:hAnsi="Times New Roman" w:eastAsia="宋体" w:cs="Times New Roman"/>
          <w:i/>
          <w:iCs/>
          <w:highlight w:val="none"/>
        </w:rPr>
        <w:t>Buteo hemilasius</w:t>
      </w:r>
      <w:r>
        <w:rPr>
          <w:rFonts w:hint="eastAsia" w:cs="Times New Roman"/>
          <w:highlight w:val="none"/>
        </w:rPr>
        <w:t>）、高山兀鹫（</w:t>
      </w:r>
      <w:r>
        <w:rPr>
          <w:rFonts w:hint="eastAsia" w:ascii="Times New Roman" w:hAnsi="Times New Roman" w:eastAsia="宋体" w:cs="Times New Roman"/>
          <w:i/>
          <w:iCs/>
          <w:highlight w:val="none"/>
        </w:rPr>
        <w:t>Gyps himalayensis</w:t>
      </w:r>
      <w:r>
        <w:rPr>
          <w:rFonts w:hint="eastAsia" w:cs="Times New Roman"/>
          <w:highlight w:val="none"/>
        </w:rPr>
        <w:t>）、</w:t>
      </w:r>
      <w:r>
        <w:rPr>
          <w:rFonts w:hint="eastAsia" w:cs="Times New Roman"/>
          <w:highlight w:val="none"/>
          <w:lang w:val="en-US" w:eastAsia="zh-CN"/>
        </w:rPr>
        <w:t>橙翅噪鹛</w:t>
      </w:r>
      <w:r>
        <w:rPr>
          <w:rFonts w:hint="eastAsia" w:cs="Times New Roman"/>
          <w:highlight w:val="none"/>
          <w:lang w:eastAsia="zh-CN"/>
        </w:rPr>
        <w:t>（</w:t>
      </w:r>
      <w:r>
        <w:rPr>
          <w:rFonts w:hint="eastAsia" w:ascii="Times New Roman" w:hAnsi="Times New Roman" w:eastAsia="宋体" w:cs="Times New Roman"/>
          <w:i/>
          <w:iCs/>
          <w:highlight w:val="none"/>
        </w:rPr>
        <w:t>Garrulax elliotii</w:t>
      </w:r>
      <w:r>
        <w:rPr>
          <w:rFonts w:hint="eastAsia" w:cs="Times New Roman"/>
          <w:highlight w:val="none"/>
          <w:lang w:eastAsia="zh-CN"/>
        </w:rPr>
        <w:t>）</w:t>
      </w:r>
      <w:r>
        <w:rPr>
          <w:rFonts w:hint="eastAsia" w:cs="Times New Roman"/>
          <w:highlight w:val="none"/>
        </w:rPr>
        <w:t>、藏雪鸡</w:t>
      </w:r>
      <w:r>
        <w:rPr>
          <w:rFonts w:hint="eastAsia" w:cs="Times New Roman"/>
          <w:highlight w:val="none"/>
          <w:lang w:eastAsia="zh-CN"/>
        </w:rPr>
        <w:t>（</w:t>
      </w:r>
      <w:r>
        <w:rPr>
          <w:rFonts w:hint="eastAsia" w:ascii="Times New Roman" w:hAnsi="Times New Roman" w:eastAsia="宋体" w:cs="Times New Roman"/>
          <w:i/>
          <w:iCs/>
          <w:highlight w:val="none"/>
        </w:rPr>
        <w:t>Tetraogallus tibetanus</w:t>
      </w:r>
      <w:r>
        <w:rPr>
          <w:rFonts w:hint="eastAsia" w:cs="Times New Roman"/>
          <w:highlight w:val="none"/>
          <w:lang w:eastAsia="zh-CN"/>
        </w:rPr>
        <w:t>）、</w:t>
      </w:r>
      <w:r>
        <w:rPr>
          <w:rFonts w:hint="eastAsia" w:cs="Times New Roman"/>
          <w:highlight w:val="none"/>
        </w:rPr>
        <w:t>蓝马鸡（</w:t>
      </w:r>
      <w:r>
        <w:rPr>
          <w:rFonts w:hint="eastAsia" w:ascii="Times New Roman" w:hAnsi="Times New Roman" w:eastAsia="宋体" w:cs="Times New Roman"/>
          <w:i/>
          <w:iCs/>
          <w:highlight w:val="none"/>
        </w:rPr>
        <w:t>Crossoptilon auritum</w:t>
      </w:r>
      <w:r>
        <w:rPr>
          <w:rFonts w:hint="eastAsia" w:cs="Times New Roman"/>
          <w:highlight w:val="none"/>
        </w:rPr>
        <w:t>）和纵纹腹小鸮（</w:t>
      </w:r>
      <w:r>
        <w:rPr>
          <w:rFonts w:hint="eastAsia" w:ascii="Times New Roman" w:hAnsi="Times New Roman" w:eastAsia="宋体" w:cs="Times New Roman"/>
          <w:i/>
          <w:iCs/>
          <w:highlight w:val="none"/>
        </w:rPr>
        <w:t>Athene noctua</w:t>
      </w:r>
      <w:r>
        <w:rPr>
          <w:rFonts w:hint="eastAsia" w:cs="Times New Roman"/>
          <w:highlight w:val="none"/>
        </w:rPr>
        <w:t>）；还有四川省级保护鸟类2种，小䴙䴘（</w:t>
      </w:r>
      <w:r>
        <w:rPr>
          <w:rFonts w:hint="eastAsia" w:ascii="Times New Roman" w:hAnsi="Times New Roman" w:eastAsia="宋体" w:cs="Times New Roman"/>
          <w:i/>
          <w:iCs/>
          <w:highlight w:val="none"/>
        </w:rPr>
        <w:t>Tachybaptus ruficollis</w:t>
      </w:r>
      <w:r>
        <w:rPr>
          <w:rFonts w:hint="eastAsia" w:cs="Times New Roman"/>
          <w:highlight w:val="none"/>
        </w:rPr>
        <w:t>）和普通燕鸥（</w:t>
      </w:r>
      <w:r>
        <w:rPr>
          <w:rFonts w:hint="eastAsia" w:ascii="Times New Roman" w:hAnsi="Times New Roman" w:eastAsia="宋体" w:cs="Times New Roman"/>
          <w:i/>
          <w:iCs/>
          <w:highlight w:val="none"/>
        </w:rPr>
        <w:t>Sterna hirundo</w:t>
      </w:r>
      <w:r>
        <w:rPr>
          <w:rFonts w:hint="eastAsia" w:cs="Times New Roman"/>
          <w:highlight w:val="none"/>
        </w:rPr>
        <w:t>）。</w:t>
      </w:r>
    </w:p>
    <w:p>
      <w:pPr>
        <w:pStyle w:val="8"/>
        <w:numPr>
          <w:ilvl w:val="4"/>
          <w:numId w:val="0"/>
        </w:numPr>
        <w:rPr>
          <w:rFonts w:cs="Times New Roman"/>
        </w:rPr>
      </w:pPr>
      <w:r>
        <w:rPr>
          <w:rFonts w:cs="Times New Roman"/>
        </w:rPr>
        <w:t>4.5.1.</w:t>
      </w:r>
      <w:r>
        <w:rPr>
          <w:rFonts w:hint="eastAsia" w:cs="Times New Roman"/>
          <w:lang w:val="en-US" w:eastAsia="zh-CN"/>
        </w:rPr>
        <w:t>3</w:t>
      </w:r>
      <w:r>
        <w:rPr>
          <w:rFonts w:cs="Times New Roman"/>
        </w:rPr>
        <w:t>.</w:t>
      </w:r>
      <w:r>
        <w:rPr>
          <w:rFonts w:hint="eastAsia" w:cs="Times New Roman"/>
          <w:lang w:val="en-US" w:eastAsia="zh-CN"/>
        </w:rPr>
        <w:t>5</w:t>
      </w:r>
      <w:r>
        <w:rPr>
          <w:rFonts w:cs="Times New Roman"/>
        </w:rPr>
        <w:t>兽类</w:t>
      </w:r>
    </w:p>
    <w:p>
      <w:pPr>
        <w:ind w:firstLine="480"/>
        <w:rPr>
          <w:rFonts w:hint="eastAsia" w:cs="Times New Roman"/>
          <w:szCs w:val="24"/>
          <w:highlight w:val="none"/>
        </w:rPr>
      </w:pPr>
      <w:r>
        <w:rPr>
          <w:rFonts w:hint="eastAsia" w:cs="Times New Roman"/>
          <w:szCs w:val="24"/>
          <w:highlight w:val="none"/>
        </w:rPr>
        <w:t>通过实地调查、查阅资料以及访问得知，评价区有兽类</w:t>
      </w:r>
      <w:r>
        <w:rPr>
          <w:rFonts w:hint="eastAsia" w:cs="Times New Roman"/>
          <w:szCs w:val="24"/>
          <w:highlight w:val="none"/>
          <w:lang w:val="en-US" w:eastAsia="zh-CN"/>
        </w:rPr>
        <w:t>4</w:t>
      </w:r>
      <w:r>
        <w:rPr>
          <w:rFonts w:hint="eastAsia" w:cs="Times New Roman"/>
          <w:szCs w:val="24"/>
          <w:highlight w:val="none"/>
        </w:rPr>
        <w:t>目1</w:t>
      </w:r>
      <w:r>
        <w:rPr>
          <w:rFonts w:hint="eastAsia" w:cs="Times New Roman"/>
          <w:szCs w:val="24"/>
          <w:highlight w:val="none"/>
          <w:lang w:val="en-US" w:eastAsia="zh-CN"/>
        </w:rPr>
        <w:t>1</w:t>
      </w:r>
      <w:r>
        <w:rPr>
          <w:rFonts w:hint="eastAsia" w:cs="Times New Roman"/>
          <w:szCs w:val="24"/>
          <w:highlight w:val="none"/>
        </w:rPr>
        <w:t>科</w:t>
      </w:r>
      <w:r>
        <w:rPr>
          <w:rFonts w:hint="eastAsia" w:cs="Times New Roman"/>
          <w:szCs w:val="24"/>
          <w:highlight w:val="none"/>
          <w:lang w:val="en-US" w:eastAsia="zh-CN"/>
        </w:rPr>
        <w:t>17</w:t>
      </w:r>
      <w:r>
        <w:rPr>
          <w:rFonts w:hint="eastAsia" w:cs="Times New Roman"/>
          <w:szCs w:val="24"/>
          <w:highlight w:val="none"/>
        </w:rPr>
        <w:t>种。其中食肉目和啮齿目的种类最多，分别为</w:t>
      </w:r>
      <w:r>
        <w:rPr>
          <w:rFonts w:hint="eastAsia" w:cs="Times New Roman"/>
          <w:szCs w:val="24"/>
          <w:highlight w:val="none"/>
          <w:lang w:val="en-US" w:eastAsia="zh-CN"/>
        </w:rPr>
        <w:t>3</w:t>
      </w:r>
      <w:r>
        <w:rPr>
          <w:rFonts w:hint="eastAsia" w:cs="Times New Roman"/>
          <w:szCs w:val="24"/>
          <w:highlight w:val="none"/>
        </w:rPr>
        <w:t>科</w:t>
      </w:r>
      <w:r>
        <w:rPr>
          <w:rFonts w:hint="eastAsia" w:cs="Times New Roman"/>
          <w:szCs w:val="24"/>
          <w:highlight w:val="none"/>
          <w:lang w:val="en-US" w:eastAsia="zh-CN"/>
        </w:rPr>
        <w:t>6</w:t>
      </w:r>
      <w:r>
        <w:rPr>
          <w:rFonts w:hint="eastAsia" w:cs="Times New Roman"/>
          <w:szCs w:val="24"/>
          <w:highlight w:val="none"/>
        </w:rPr>
        <w:t>种和</w:t>
      </w:r>
      <w:r>
        <w:rPr>
          <w:rFonts w:hint="eastAsia" w:cs="Times New Roman"/>
          <w:szCs w:val="24"/>
          <w:highlight w:val="none"/>
          <w:lang w:val="en-US" w:eastAsia="zh-CN"/>
        </w:rPr>
        <w:t>5</w:t>
      </w:r>
      <w:r>
        <w:rPr>
          <w:rFonts w:hint="eastAsia" w:cs="Times New Roman"/>
          <w:szCs w:val="24"/>
          <w:highlight w:val="none"/>
        </w:rPr>
        <w:t>科</w:t>
      </w:r>
      <w:r>
        <w:rPr>
          <w:rFonts w:hint="eastAsia" w:cs="Times New Roman"/>
          <w:szCs w:val="24"/>
          <w:highlight w:val="none"/>
          <w:lang w:val="en-US" w:eastAsia="zh-CN"/>
        </w:rPr>
        <w:t>7</w:t>
      </w:r>
      <w:r>
        <w:rPr>
          <w:rFonts w:hint="eastAsia" w:cs="Times New Roman"/>
          <w:szCs w:val="24"/>
          <w:highlight w:val="none"/>
        </w:rPr>
        <w:t>种，其次为兔形目2科3种，偶蹄目</w:t>
      </w:r>
      <w:r>
        <w:rPr>
          <w:rFonts w:hint="eastAsia" w:cs="Times New Roman"/>
          <w:szCs w:val="24"/>
          <w:highlight w:val="none"/>
          <w:lang w:val="en-US" w:eastAsia="zh-CN"/>
        </w:rPr>
        <w:t>1</w:t>
      </w:r>
      <w:r>
        <w:rPr>
          <w:rFonts w:hint="eastAsia" w:cs="Times New Roman"/>
          <w:szCs w:val="24"/>
          <w:highlight w:val="none"/>
        </w:rPr>
        <w:t>科</w:t>
      </w:r>
      <w:r>
        <w:rPr>
          <w:rFonts w:hint="eastAsia" w:cs="Times New Roman"/>
          <w:szCs w:val="24"/>
          <w:highlight w:val="none"/>
          <w:lang w:val="en-US" w:eastAsia="zh-CN"/>
        </w:rPr>
        <w:t>1</w:t>
      </w:r>
      <w:r>
        <w:rPr>
          <w:rFonts w:hint="eastAsia" w:cs="Times New Roman"/>
          <w:szCs w:val="24"/>
          <w:highlight w:val="none"/>
        </w:rPr>
        <w:t>种。</w:t>
      </w:r>
    </w:p>
    <w:p>
      <w:pPr>
        <w:ind w:firstLine="480"/>
        <w:rPr>
          <w:rFonts w:hint="eastAsia" w:cs="Times New Roman"/>
          <w:szCs w:val="24"/>
          <w:highlight w:val="none"/>
        </w:rPr>
      </w:pPr>
      <w:r>
        <w:rPr>
          <w:rFonts w:hint="eastAsia" w:cs="Times New Roman"/>
          <w:szCs w:val="24"/>
          <w:highlight w:val="none"/>
        </w:rPr>
        <w:t>评价区有分布的</w:t>
      </w:r>
      <w:r>
        <w:rPr>
          <w:rFonts w:hint="eastAsia" w:cs="Times New Roman"/>
          <w:szCs w:val="24"/>
          <w:highlight w:val="none"/>
          <w:lang w:val="en-US" w:eastAsia="zh-CN"/>
        </w:rPr>
        <w:t>17</w:t>
      </w:r>
      <w:r>
        <w:rPr>
          <w:rFonts w:hint="eastAsia" w:cs="Times New Roman"/>
          <w:szCs w:val="24"/>
          <w:highlight w:val="none"/>
        </w:rPr>
        <w:t>种兽类中属古北界的有1</w:t>
      </w:r>
      <w:r>
        <w:rPr>
          <w:rFonts w:hint="eastAsia" w:cs="Times New Roman"/>
          <w:szCs w:val="24"/>
          <w:highlight w:val="none"/>
          <w:lang w:val="en-US" w:eastAsia="zh-CN"/>
        </w:rPr>
        <w:t>3</w:t>
      </w:r>
      <w:r>
        <w:rPr>
          <w:rFonts w:hint="eastAsia" w:cs="Times New Roman"/>
          <w:szCs w:val="24"/>
          <w:highlight w:val="none"/>
        </w:rPr>
        <w:t>种，占绝对优势；属东洋界的有</w:t>
      </w:r>
      <w:r>
        <w:rPr>
          <w:rFonts w:hint="eastAsia" w:cs="Times New Roman"/>
          <w:szCs w:val="24"/>
          <w:highlight w:val="none"/>
          <w:lang w:val="en-US" w:eastAsia="zh-CN"/>
        </w:rPr>
        <w:t>3</w:t>
      </w:r>
      <w:r>
        <w:rPr>
          <w:rFonts w:hint="eastAsia" w:cs="Times New Roman"/>
          <w:szCs w:val="24"/>
          <w:highlight w:val="none"/>
        </w:rPr>
        <w:t>种，广布种1种。按张荣祖《中国动物地理区划》（2015）对兽类分布型的划分，评价区内兽类有</w:t>
      </w:r>
      <w:r>
        <w:rPr>
          <w:rFonts w:hint="eastAsia" w:cs="Times New Roman"/>
          <w:szCs w:val="24"/>
          <w:highlight w:val="none"/>
          <w:lang w:val="en-US" w:eastAsia="zh-CN"/>
        </w:rPr>
        <w:t>7</w:t>
      </w:r>
      <w:r>
        <w:rPr>
          <w:rFonts w:hint="eastAsia" w:cs="Times New Roman"/>
          <w:szCs w:val="24"/>
          <w:highlight w:val="none"/>
        </w:rPr>
        <w:t>种分布型，高地型最多，有7种；东洋型及中亚型均有3种；</w:t>
      </w:r>
      <w:r>
        <w:rPr>
          <w:rFonts w:hint="eastAsia" w:cs="Times New Roman"/>
          <w:szCs w:val="24"/>
          <w:highlight w:val="none"/>
          <w:lang w:val="en-US" w:eastAsia="zh-CN"/>
        </w:rPr>
        <w:t>广布型、</w:t>
      </w:r>
      <w:r>
        <w:rPr>
          <w:rFonts w:hint="eastAsia" w:cs="Times New Roman"/>
          <w:szCs w:val="24"/>
          <w:highlight w:val="none"/>
        </w:rPr>
        <w:t>古北型</w:t>
      </w:r>
      <w:r>
        <w:rPr>
          <w:rFonts w:hint="eastAsia" w:cs="Times New Roman"/>
          <w:szCs w:val="24"/>
          <w:highlight w:val="none"/>
          <w:lang w:val="en-US" w:eastAsia="zh-CN"/>
        </w:rPr>
        <w:t>、</w:t>
      </w:r>
      <w:r>
        <w:rPr>
          <w:rFonts w:hint="eastAsia" w:cs="Times New Roman"/>
          <w:szCs w:val="24"/>
          <w:highlight w:val="none"/>
        </w:rPr>
        <w:t>全北型及东北-华北型均只有1种。</w:t>
      </w:r>
    </w:p>
    <w:p>
      <w:pPr>
        <w:ind w:firstLine="480"/>
        <w:rPr>
          <w:rFonts w:hint="eastAsia" w:cs="Times New Roman"/>
          <w:szCs w:val="24"/>
          <w:highlight w:val="none"/>
        </w:rPr>
      </w:pPr>
      <w:r>
        <w:rPr>
          <w:rFonts w:hint="eastAsia" w:cs="Times New Roman"/>
          <w:szCs w:val="24"/>
          <w:highlight w:val="none"/>
        </w:rPr>
        <w:t>根据评价区生境特点及兽类的生活习性，评价区内的兽类可以划分为针叶林、湿地、高山灌丛草甸和流石滩等几种类型。多数兽类集中分布于针叶林和高山灌丛草甸中，流石滩和湿地中记录的兽类种类及种群数量少。</w:t>
      </w:r>
    </w:p>
    <w:p>
      <w:pPr>
        <w:ind w:firstLine="480"/>
        <w:rPr>
          <w:rFonts w:cs="Times New Roman"/>
          <w:highlight w:val="none"/>
        </w:rPr>
      </w:pPr>
      <w:r>
        <w:rPr>
          <w:rFonts w:hint="eastAsia" w:cs="Times New Roman"/>
          <w:szCs w:val="24"/>
          <w:highlight w:val="none"/>
        </w:rPr>
        <w:t>评价区无国家I级重点保护兽类；有国家重点II级保护</w:t>
      </w:r>
      <w:r>
        <w:rPr>
          <w:rFonts w:hint="eastAsia" w:cs="Times New Roman"/>
          <w:szCs w:val="24"/>
          <w:highlight w:val="none"/>
          <w:lang w:val="en-US" w:eastAsia="zh-CN"/>
        </w:rPr>
        <w:t>兽</w:t>
      </w:r>
      <w:r>
        <w:rPr>
          <w:rFonts w:hint="eastAsia" w:cs="Times New Roman"/>
          <w:szCs w:val="24"/>
          <w:highlight w:val="none"/>
        </w:rPr>
        <w:t>类</w:t>
      </w:r>
      <w:r>
        <w:rPr>
          <w:rFonts w:hint="eastAsia" w:cs="Times New Roman"/>
          <w:szCs w:val="24"/>
          <w:highlight w:val="none"/>
          <w:lang w:val="en-US" w:eastAsia="zh-CN"/>
        </w:rPr>
        <w:t>3</w:t>
      </w:r>
      <w:r>
        <w:rPr>
          <w:rFonts w:hint="eastAsia" w:cs="Times New Roman"/>
          <w:szCs w:val="24"/>
          <w:highlight w:val="none"/>
        </w:rPr>
        <w:t>种，包括</w:t>
      </w:r>
      <w:r>
        <w:rPr>
          <w:rFonts w:hint="eastAsia" w:cs="Times New Roman"/>
          <w:szCs w:val="24"/>
          <w:highlight w:val="none"/>
          <w:lang w:eastAsia="zh-CN"/>
        </w:rPr>
        <w:t>狼（</w:t>
      </w:r>
      <w:r>
        <w:rPr>
          <w:rFonts w:hint="eastAsia" w:cs="Times New Roman"/>
          <w:i/>
          <w:iCs/>
          <w:szCs w:val="24"/>
          <w:highlight w:val="none"/>
          <w:lang w:eastAsia="zh-CN"/>
        </w:rPr>
        <w:t>Canis lupus</w:t>
      </w:r>
      <w:r>
        <w:rPr>
          <w:rFonts w:hint="eastAsia" w:cs="Times New Roman"/>
          <w:szCs w:val="24"/>
          <w:highlight w:val="none"/>
          <w:lang w:eastAsia="zh-CN"/>
        </w:rPr>
        <w:t>）、藏狐</w:t>
      </w:r>
      <w:r>
        <w:rPr>
          <w:rFonts w:hint="eastAsia" w:cs="Times New Roman"/>
          <w:szCs w:val="24"/>
          <w:highlight w:val="none"/>
        </w:rPr>
        <w:t>（</w:t>
      </w:r>
      <w:r>
        <w:rPr>
          <w:rFonts w:hint="eastAsia" w:cs="Times New Roman"/>
          <w:i/>
          <w:iCs/>
          <w:szCs w:val="24"/>
          <w:highlight w:val="none"/>
        </w:rPr>
        <w:t>Vulpes ferrilata</w:t>
      </w:r>
      <w:r>
        <w:rPr>
          <w:rFonts w:hint="eastAsia" w:cs="Times New Roman"/>
          <w:szCs w:val="24"/>
          <w:highlight w:val="none"/>
        </w:rPr>
        <w:t>）、兔狲（</w:t>
      </w:r>
      <w:r>
        <w:rPr>
          <w:rFonts w:hint="eastAsia" w:ascii="Times New Roman" w:hAnsi="Times New Roman" w:eastAsia="宋体" w:cs="Times New Roman"/>
          <w:i/>
          <w:iCs/>
          <w:szCs w:val="24"/>
          <w:highlight w:val="none"/>
        </w:rPr>
        <w:t>Felis manul</w:t>
      </w:r>
      <w:r>
        <w:rPr>
          <w:rFonts w:hint="eastAsia" w:cs="Times New Roman"/>
          <w:szCs w:val="24"/>
          <w:highlight w:val="none"/>
        </w:rPr>
        <w:t>）；有四川省重点保护兽类香鼬（</w:t>
      </w:r>
      <w:r>
        <w:rPr>
          <w:rFonts w:hint="eastAsia" w:ascii="Times New Roman" w:hAnsi="Times New Roman" w:eastAsia="宋体" w:cs="Times New Roman"/>
          <w:i/>
          <w:iCs/>
          <w:szCs w:val="24"/>
          <w:highlight w:val="none"/>
        </w:rPr>
        <w:t>Mustela altaica</w:t>
      </w:r>
      <w:r>
        <w:rPr>
          <w:rFonts w:hint="eastAsia" w:cs="Times New Roman"/>
          <w:szCs w:val="24"/>
          <w:highlight w:val="none"/>
        </w:rPr>
        <w:t>）</w:t>
      </w:r>
      <w:r>
        <w:rPr>
          <w:rFonts w:hint="eastAsia" w:cs="Times New Roman"/>
          <w:szCs w:val="24"/>
          <w:highlight w:val="none"/>
          <w:lang w:val="en-US" w:eastAsia="zh-CN"/>
        </w:rPr>
        <w:t>1</w:t>
      </w:r>
      <w:r>
        <w:rPr>
          <w:rFonts w:hint="eastAsia" w:cs="Times New Roman"/>
          <w:szCs w:val="24"/>
          <w:highlight w:val="none"/>
        </w:rPr>
        <w:t>种。</w:t>
      </w:r>
    </w:p>
    <w:p>
      <w:pPr>
        <w:pStyle w:val="5"/>
        <w:numPr>
          <w:ilvl w:val="2"/>
          <w:numId w:val="0"/>
        </w:numPr>
        <w:ind w:leftChars="0"/>
        <w:rPr>
          <w:rFonts w:cs="Times New Roman"/>
          <w:color w:val="auto"/>
          <w:highlight w:val="none"/>
        </w:rPr>
      </w:pPr>
      <w:r>
        <w:rPr>
          <w:rFonts w:hint="eastAsia" w:cs="Times New Roman"/>
          <w:color w:val="auto"/>
          <w:highlight w:val="none"/>
          <w:lang w:val="en-US" w:eastAsia="zh-CN"/>
        </w:rPr>
        <w:t xml:space="preserve">4.5.2 </w:t>
      </w:r>
      <w:r>
        <w:rPr>
          <w:rFonts w:hint="eastAsia" w:cs="Times New Roman"/>
          <w:color w:val="auto"/>
          <w:highlight w:val="none"/>
        </w:rPr>
        <w:t>湿地景观资源现状</w:t>
      </w:r>
    </w:p>
    <w:p>
      <w:pPr>
        <w:ind w:firstLine="480"/>
        <w:rPr>
          <w:rFonts w:hint="eastAsia" w:cs="Times New Roman"/>
          <w:highlight w:val="none"/>
        </w:rPr>
      </w:pPr>
      <w:r>
        <w:rPr>
          <w:rFonts w:hint="eastAsia" w:cs="Times New Roman"/>
        </w:rPr>
        <w:t>评价区水系属于长江支流大渡河水系，处于大渡河的上游地区，</w:t>
      </w:r>
      <w:r>
        <w:rPr>
          <w:rFonts w:hint="eastAsia" w:cs="Times New Roman"/>
          <w:highlight w:val="none"/>
        </w:rPr>
        <w:t>现有的湿地类型包括河流湿地和沼泽湿地</w:t>
      </w:r>
      <w:r>
        <w:rPr>
          <w:rFonts w:hint="eastAsia" w:cs="Times New Roman"/>
          <w:highlight w:val="none"/>
          <w:lang w:val="en-US" w:eastAsia="zh-CN"/>
        </w:rPr>
        <w:t>两</w:t>
      </w:r>
      <w:r>
        <w:rPr>
          <w:rFonts w:hint="eastAsia" w:cs="Times New Roman"/>
          <w:highlight w:val="none"/>
        </w:rPr>
        <w:t>大类。根据调查和数据显示，评价区湿地斑块总面积为</w:t>
      </w:r>
      <w:r>
        <w:rPr>
          <w:rFonts w:hint="eastAsia" w:cs="Times New Roman"/>
          <w:highlight w:val="none"/>
          <w:lang w:val="en-US" w:eastAsia="zh-CN"/>
        </w:rPr>
        <w:t xml:space="preserve">205.25 </w:t>
      </w:r>
      <w:r>
        <w:rPr>
          <w:rFonts w:hint="eastAsia" w:cs="Times New Roman"/>
          <w:highlight w:val="none"/>
        </w:rPr>
        <w:t>hm</w:t>
      </w:r>
      <w:r>
        <w:rPr>
          <w:rFonts w:hint="eastAsia" w:cs="Times New Roman"/>
          <w:highlight w:val="none"/>
          <w:vertAlign w:val="superscript"/>
        </w:rPr>
        <w:t>2</w:t>
      </w:r>
      <w:r>
        <w:rPr>
          <w:rFonts w:hint="eastAsia" w:cs="Times New Roman"/>
          <w:highlight w:val="none"/>
        </w:rPr>
        <w:t>，占评价区总面积的</w:t>
      </w:r>
      <w:r>
        <w:rPr>
          <w:rFonts w:hint="eastAsia" w:cs="Times New Roman"/>
          <w:highlight w:val="none"/>
          <w:lang w:val="en-US" w:eastAsia="zh-CN"/>
        </w:rPr>
        <w:t>3</w:t>
      </w:r>
      <w:r>
        <w:rPr>
          <w:rFonts w:hint="eastAsia" w:cs="Times New Roman"/>
          <w:highlight w:val="none"/>
        </w:rPr>
        <w:t>7.55%。</w:t>
      </w:r>
    </w:p>
    <w:p>
      <w:pPr>
        <w:ind w:firstLine="480"/>
        <w:rPr>
          <w:rFonts w:hint="eastAsia" w:cs="Times New Roman"/>
        </w:rPr>
      </w:pPr>
      <w:r>
        <w:rPr>
          <w:rFonts w:hint="eastAsia" w:cs="Times New Roman"/>
        </w:rPr>
        <w:t>另外，评价区的部分湿地动物，特别是湿地鸟类资源不可或缺，与上述湿地形成一个整体，构成了评价区的湿地景观资源。下面就评价区的景观资源进行详细分析，其中以湿地景观资源为现状分析的重点。</w:t>
      </w:r>
    </w:p>
    <w:p>
      <w:pPr>
        <w:ind w:firstLine="480"/>
        <w:rPr>
          <w:rFonts w:hint="eastAsia" w:cs="Times New Roman"/>
        </w:rPr>
      </w:pPr>
      <w:r>
        <w:rPr>
          <w:rFonts w:hint="eastAsia" w:cs="Times New Roman"/>
        </w:rPr>
        <w:t>利用景观生态学中，描述景观结构的基本模式，运用Arcview GIS软件，根据野外植被调查情况，可制作出评价区域的景观分布图。利用Arcview GIS的统计分析功能可以得到各类景观类型的基础信息，如表4-3。</w:t>
      </w:r>
    </w:p>
    <w:p>
      <w:pPr>
        <w:spacing w:after="32" w:afterLines="10"/>
        <w:ind w:firstLine="0" w:firstLineChars="0"/>
        <w:jc w:val="center"/>
        <w:rPr>
          <w:rFonts w:cs="Times New Roman"/>
          <w:b/>
        </w:rPr>
      </w:pPr>
      <w:r>
        <w:rPr>
          <w:rFonts w:cs="Times New Roman"/>
          <w:b/>
        </w:rPr>
        <w:t>表4-</w:t>
      </w:r>
      <w:r>
        <w:rPr>
          <w:rFonts w:hint="eastAsia" w:cs="Times New Roman"/>
          <w:b/>
          <w:lang w:val="en-US" w:eastAsia="zh-CN"/>
        </w:rPr>
        <w:t>3</w:t>
      </w:r>
      <w:r>
        <w:rPr>
          <w:rFonts w:cs="Times New Roman"/>
          <w:b/>
        </w:rPr>
        <w:t xml:space="preserve"> 评价区景观资源现状组成</w:t>
      </w:r>
    </w:p>
    <w:tbl>
      <w:tblPr>
        <w:tblStyle w:val="42"/>
        <w:tblW w:w="86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7"/>
        <w:gridCol w:w="1655"/>
        <w:gridCol w:w="914"/>
        <w:gridCol w:w="1295"/>
        <w:gridCol w:w="1159"/>
        <w:gridCol w:w="1364"/>
        <w:gridCol w:w="13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17"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b/>
                <w:sz w:val="21"/>
                <w:szCs w:val="21"/>
              </w:rPr>
            </w:pPr>
            <w:r>
              <w:rPr>
                <w:rFonts w:cs="Times New Roman"/>
                <w:b/>
                <w:bCs/>
                <w:color w:val="000000"/>
                <w:sz w:val="21"/>
                <w:szCs w:val="21"/>
              </w:rPr>
              <w:t>斑块类型</w:t>
            </w:r>
          </w:p>
        </w:tc>
        <w:tc>
          <w:tcPr>
            <w:tcW w:w="165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b/>
                <w:sz w:val="21"/>
                <w:szCs w:val="21"/>
              </w:rPr>
            </w:pPr>
            <w:r>
              <w:rPr>
                <w:rFonts w:cs="Times New Roman"/>
                <w:b/>
                <w:bCs/>
                <w:color w:val="000000"/>
                <w:sz w:val="21"/>
                <w:szCs w:val="21"/>
              </w:rPr>
              <w:t>景观类型</w:t>
            </w:r>
          </w:p>
        </w:tc>
        <w:tc>
          <w:tcPr>
            <w:tcW w:w="91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b/>
                <w:sz w:val="21"/>
                <w:szCs w:val="21"/>
              </w:rPr>
            </w:pPr>
            <w:r>
              <w:rPr>
                <w:rFonts w:cs="Times New Roman"/>
                <w:b/>
                <w:bCs/>
                <w:color w:val="000000"/>
                <w:sz w:val="21"/>
                <w:szCs w:val="21"/>
              </w:rPr>
              <w:t>斑块数</w:t>
            </w:r>
          </w:p>
        </w:tc>
        <w:tc>
          <w:tcPr>
            <w:tcW w:w="129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b/>
                <w:sz w:val="21"/>
                <w:szCs w:val="21"/>
              </w:rPr>
            </w:pPr>
            <w:r>
              <w:rPr>
                <w:rFonts w:cs="Times New Roman"/>
                <w:b/>
                <w:bCs/>
                <w:color w:val="000000"/>
                <w:sz w:val="21"/>
                <w:szCs w:val="21"/>
              </w:rPr>
              <w:t>斑块比例（%）</w:t>
            </w:r>
          </w:p>
        </w:tc>
        <w:tc>
          <w:tcPr>
            <w:tcW w:w="115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b/>
                <w:sz w:val="21"/>
                <w:szCs w:val="21"/>
              </w:rPr>
            </w:pPr>
            <w:r>
              <w:rPr>
                <w:rFonts w:cs="Times New Roman"/>
                <w:b/>
                <w:bCs/>
                <w:color w:val="000000"/>
                <w:sz w:val="21"/>
                <w:szCs w:val="21"/>
              </w:rPr>
              <w:t>面积（hm</w:t>
            </w:r>
            <w:r>
              <w:rPr>
                <w:rFonts w:cs="Times New Roman"/>
                <w:b/>
                <w:bCs/>
                <w:color w:val="000000"/>
                <w:sz w:val="21"/>
                <w:szCs w:val="21"/>
                <w:vertAlign w:val="superscript"/>
              </w:rPr>
              <w:t>2</w:t>
            </w:r>
            <w:r>
              <w:rPr>
                <w:rFonts w:cs="Times New Roman"/>
                <w:b/>
                <w:bCs/>
                <w:color w:val="000000"/>
                <w:sz w:val="21"/>
                <w:szCs w:val="21"/>
              </w:rPr>
              <w:t>）</w:t>
            </w:r>
          </w:p>
        </w:tc>
        <w:tc>
          <w:tcPr>
            <w:tcW w:w="136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b/>
                <w:sz w:val="21"/>
                <w:szCs w:val="21"/>
              </w:rPr>
            </w:pPr>
            <w:r>
              <w:rPr>
                <w:rFonts w:cs="Times New Roman"/>
                <w:b/>
                <w:bCs/>
                <w:color w:val="000000"/>
                <w:sz w:val="21"/>
                <w:szCs w:val="21"/>
              </w:rPr>
              <w:t>面积比例(%)</w:t>
            </w:r>
          </w:p>
        </w:tc>
        <w:tc>
          <w:tcPr>
            <w:tcW w:w="1336"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b/>
                <w:kern w:val="0"/>
                <w:sz w:val="21"/>
                <w:szCs w:val="21"/>
                <w:lang w:bidi="ar"/>
              </w:rPr>
            </w:pPr>
            <w:r>
              <w:rPr>
                <w:rFonts w:cs="Times New Roman"/>
                <w:b/>
                <w:bCs/>
                <w:color w:val="000000"/>
                <w:sz w:val="21"/>
                <w:szCs w:val="21"/>
              </w:rPr>
              <w:t>破碎化指数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vMerge w:val="restar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sz w:val="21"/>
                <w:szCs w:val="21"/>
              </w:rPr>
            </w:pPr>
            <w:r>
              <w:rPr>
                <w:rFonts w:cs="Times New Roman"/>
                <w:color w:val="000000"/>
                <w:sz w:val="21"/>
                <w:szCs w:val="21"/>
              </w:rPr>
              <w:t>湿地</w:t>
            </w:r>
          </w:p>
        </w:tc>
        <w:tc>
          <w:tcPr>
            <w:tcW w:w="165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sz w:val="21"/>
                <w:szCs w:val="21"/>
              </w:rPr>
            </w:pPr>
            <w:r>
              <w:rPr>
                <w:rFonts w:cs="Times New Roman"/>
                <w:color w:val="000000"/>
                <w:sz w:val="21"/>
                <w:szCs w:val="21"/>
              </w:rPr>
              <w:t>河流湿地</w:t>
            </w:r>
          </w:p>
        </w:tc>
        <w:tc>
          <w:tcPr>
            <w:tcW w:w="91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sz w:val="21"/>
                <w:szCs w:val="21"/>
                <w:lang w:val="en-US" w:eastAsia="zh-CN"/>
              </w:rPr>
            </w:pPr>
            <w:r>
              <w:rPr>
                <w:rFonts w:hint="eastAsia" w:cs="Times New Roman"/>
                <w:color w:val="000000"/>
                <w:sz w:val="21"/>
                <w:szCs w:val="21"/>
                <w:lang w:val="en-US" w:eastAsia="zh-CN"/>
              </w:rPr>
              <w:t>19</w:t>
            </w:r>
          </w:p>
        </w:tc>
        <w:tc>
          <w:tcPr>
            <w:tcW w:w="129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sz w:val="21"/>
                <w:szCs w:val="21"/>
                <w:highlight w:val="none"/>
                <w:lang w:val="en-US" w:eastAsia="zh-CN"/>
              </w:rPr>
            </w:pPr>
            <w:r>
              <w:rPr>
                <w:rFonts w:hint="eastAsia" w:cs="Times New Roman"/>
                <w:color w:val="000000"/>
                <w:sz w:val="21"/>
                <w:szCs w:val="21"/>
                <w:highlight w:val="none"/>
                <w:lang w:val="en-US" w:eastAsia="zh-CN"/>
              </w:rPr>
              <w:t>13.57</w:t>
            </w:r>
          </w:p>
        </w:tc>
        <w:tc>
          <w:tcPr>
            <w:tcW w:w="115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sz w:val="21"/>
                <w:szCs w:val="21"/>
                <w:highlight w:val="yellow"/>
              </w:rPr>
            </w:pPr>
            <w:r>
              <w:rPr>
                <w:rFonts w:hint="eastAsia" w:cs="Times New Roman"/>
                <w:sz w:val="21"/>
                <w:szCs w:val="21"/>
                <w:highlight w:val="none"/>
              </w:rPr>
              <w:t>27.54</w:t>
            </w:r>
          </w:p>
        </w:tc>
        <w:tc>
          <w:tcPr>
            <w:tcW w:w="136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5.04</w:t>
            </w:r>
          </w:p>
        </w:tc>
        <w:tc>
          <w:tcPr>
            <w:tcW w:w="1336"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kern w:val="0"/>
                <w:sz w:val="21"/>
                <w:szCs w:val="21"/>
                <w:highlight w:val="none"/>
                <w:lang w:val="en-US" w:eastAsia="zh-CN" w:bidi="ar"/>
              </w:rPr>
            </w:pPr>
            <w:r>
              <w:rPr>
                <w:rFonts w:hint="eastAsia" w:cs="Times New Roman"/>
                <w:kern w:val="0"/>
                <w:sz w:val="21"/>
                <w:szCs w:val="21"/>
                <w:highlight w:val="none"/>
                <w:lang w:val="en-US" w:eastAsia="zh-CN" w:bidi="ar"/>
              </w:rPr>
              <w:t>0.0033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center"/>
              <w:rPr>
                <w:rFonts w:cs="Times New Roman"/>
                <w:sz w:val="21"/>
                <w:szCs w:val="21"/>
              </w:rPr>
            </w:pPr>
          </w:p>
        </w:tc>
        <w:tc>
          <w:tcPr>
            <w:tcW w:w="165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sz w:val="21"/>
                <w:szCs w:val="21"/>
              </w:rPr>
            </w:pPr>
            <w:r>
              <w:rPr>
                <w:rFonts w:cs="Times New Roman"/>
                <w:color w:val="000000"/>
                <w:sz w:val="21"/>
                <w:szCs w:val="21"/>
              </w:rPr>
              <w:t>沼泽湿地</w:t>
            </w:r>
          </w:p>
        </w:tc>
        <w:tc>
          <w:tcPr>
            <w:tcW w:w="91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sz w:val="21"/>
                <w:szCs w:val="21"/>
                <w:lang w:val="en-US" w:eastAsia="zh-CN"/>
              </w:rPr>
            </w:pPr>
            <w:r>
              <w:rPr>
                <w:rFonts w:hint="eastAsia" w:cs="Times New Roman"/>
                <w:color w:val="000000"/>
                <w:sz w:val="21"/>
                <w:szCs w:val="21"/>
                <w:lang w:val="en-US" w:eastAsia="zh-CN"/>
              </w:rPr>
              <w:t>32</w:t>
            </w:r>
          </w:p>
        </w:tc>
        <w:tc>
          <w:tcPr>
            <w:tcW w:w="129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sz w:val="21"/>
                <w:szCs w:val="21"/>
                <w:highlight w:val="none"/>
                <w:lang w:val="en-US" w:eastAsia="zh-CN"/>
              </w:rPr>
            </w:pPr>
            <w:r>
              <w:rPr>
                <w:rFonts w:hint="eastAsia" w:cs="Times New Roman"/>
                <w:color w:val="000000"/>
                <w:sz w:val="21"/>
                <w:szCs w:val="21"/>
                <w:highlight w:val="none"/>
                <w:lang w:val="en-US" w:eastAsia="zh-CN"/>
              </w:rPr>
              <w:t>22.86</w:t>
            </w:r>
          </w:p>
        </w:tc>
        <w:tc>
          <w:tcPr>
            <w:tcW w:w="115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eastAsia" w:eastAsia="宋体" w:cs="Times New Roman"/>
                <w:color w:val="auto"/>
                <w:sz w:val="21"/>
                <w:szCs w:val="21"/>
                <w:highlight w:val="yellow"/>
                <w:lang w:eastAsia="zh-CN"/>
              </w:rPr>
            </w:pPr>
            <w:r>
              <w:rPr>
                <w:rFonts w:hint="eastAsia" w:cs="Times New Roman"/>
                <w:color w:val="auto"/>
                <w:sz w:val="21"/>
                <w:szCs w:val="21"/>
                <w:highlight w:val="none"/>
              </w:rPr>
              <w:t>177.7</w:t>
            </w:r>
            <w:r>
              <w:rPr>
                <w:rFonts w:hint="eastAsia" w:cs="Times New Roman"/>
                <w:color w:val="auto"/>
                <w:sz w:val="21"/>
                <w:szCs w:val="21"/>
                <w:highlight w:val="none"/>
                <w:lang w:val="en-US" w:eastAsia="zh-CN"/>
              </w:rPr>
              <w:t>1</w:t>
            </w:r>
          </w:p>
        </w:tc>
        <w:tc>
          <w:tcPr>
            <w:tcW w:w="136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32.51</w:t>
            </w:r>
          </w:p>
        </w:tc>
        <w:tc>
          <w:tcPr>
            <w:tcW w:w="1336"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kern w:val="0"/>
                <w:sz w:val="21"/>
                <w:szCs w:val="21"/>
                <w:highlight w:val="none"/>
                <w:lang w:val="en-US" w:eastAsia="zh-CN" w:bidi="ar"/>
              </w:rPr>
            </w:pPr>
            <w:r>
              <w:rPr>
                <w:rFonts w:hint="eastAsia" w:cs="Times New Roman"/>
                <w:kern w:val="0"/>
                <w:sz w:val="21"/>
                <w:szCs w:val="21"/>
                <w:highlight w:val="none"/>
                <w:lang w:val="en-US" w:eastAsia="zh-CN" w:bidi="ar"/>
              </w:rPr>
              <w:t>0.0160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b/>
                <w:sz w:val="21"/>
                <w:szCs w:val="21"/>
              </w:rPr>
            </w:pPr>
            <w:r>
              <w:rPr>
                <w:rFonts w:cs="Times New Roman"/>
                <w:b/>
                <w:bCs/>
                <w:color w:val="000000"/>
                <w:sz w:val="21"/>
                <w:szCs w:val="21"/>
              </w:rPr>
              <w:t>小计</w:t>
            </w:r>
          </w:p>
        </w:tc>
        <w:tc>
          <w:tcPr>
            <w:tcW w:w="165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spacing w:line="240" w:lineRule="auto"/>
              <w:ind w:firstLine="0" w:firstLineChars="0"/>
              <w:jc w:val="center"/>
              <w:rPr>
                <w:rFonts w:cs="Times New Roman"/>
                <w:sz w:val="21"/>
                <w:szCs w:val="21"/>
              </w:rPr>
            </w:pPr>
          </w:p>
        </w:tc>
        <w:tc>
          <w:tcPr>
            <w:tcW w:w="91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b/>
                <w:sz w:val="21"/>
                <w:szCs w:val="21"/>
                <w:lang w:val="en-US" w:eastAsia="zh-CN"/>
              </w:rPr>
            </w:pPr>
            <w:r>
              <w:rPr>
                <w:rFonts w:hint="eastAsia" w:cs="Times New Roman"/>
                <w:b/>
                <w:bCs/>
                <w:color w:val="000000"/>
                <w:sz w:val="21"/>
                <w:szCs w:val="21"/>
                <w:lang w:val="en-US" w:eastAsia="zh-CN"/>
              </w:rPr>
              <w:t>51</w:t>
            </w:r>
          </w:p>
        </w:tc>
        <w:tc>
          <w:tcPr>
            <w:tcW w:w="129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b/>
                <w:sz w:val="21"/>
                <w:szCs w:val="21"/>
                <w:highlight w:val="none"/>
                <w:lang w:val="en-US" w:eastAsia="zh-CN"/>
              </w:rPr>
            </w:pPr>
            <w:r>
              <w:rPr>
                <w:rFonts w:hint="eastAsia" w:cs="Times New Roman"/>
                <w:b/>
                <w:bCs/>
                <w:color w:val="000000"/>
                <w:sz w:val="21"/>
                <w:szCs w:val="21"/>
                <w:highlight w:val="none"/>
                <w:lang w:val="en-US" w:eastAsia="zh-CN"/>
              </w:rPr>
              <w:t>36.43</w:t>
            </w:r>
          </w:p>
        </w:tc>
        <w:tc>
          <w:tcPr>
            <w:tcW w:w="115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eastAsia" w:eastAsia="宋体" w:cs="Times New Roman"/>
                <w:b/>
                <w:sz w:val="21"/>
                <w:szCs w:val="21"/>
                <w:highlight w:val="yellow"/>
                <w:lang w:eastAsia="zh-CN"/>
              </w:rPr>
            </w:pPr>
            <w:r>
              <w:rPr>
                <w:rFonts w:hint="eastAsia" w:cs="Times New Roman"/>
                <w:b/>
                <w:bCs/>
                <w:color w:val="000000"/>
                <w:sz w:val="21"/>
                <w:szCs w:val="21"/>
                <w:highlight w:val="none"/>
              </w:rPr>
              <w:t>205.2</w:t>
            </w:r>
            <w:r>
              <w:rPr>
                <w:rFonts w:hint="eastAsia" w:cs="Times New Roman"/>
                <w:b/>
                <w:bCs/>
                <w:color w:val="000000"/>
                <w:sz w:val="21"/>
                <w:szCs w:val="21"/>
                <w:highlight w:val="none"/>
                <w:lang w:val="en-US" w:eastAsia="zh-CN"/>
              </w:rPr>
              <w:t>5</w:t>
            </w:r>
          </w:p>
        </w:tc>
        <w:tc>
          <w:tcPr>
            <w:tcW w:w="136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b/>
                <w:color w:val="auto"/>
                <w:sz w:val="21"/>
                <w:szCs w:val="21"/>
                <w:highlight w:val="none"/>
              </w:rPr>
            </w:pPr>
            <w:r>
              <w:rPr>
                <w:rFonts w:hint="eastAsia" w:cs="Times New Roman"/>
                <w:b/>
                <w:bCs/>
                <w:color w:val="auto"/>
                <w:sz w:val="21"/>
                <w:szCs w:val="21"/>
                <w:highlight w:val="none"/>
                <w:lang w:val="en-US" w:eastAsia="zh-CN"/>
              </w:rPr>
              <w:t>3</w:t>
            </w:r>
            <w:r>
              <w:rPr>
                <w:rFonts w:cs="Times New Roman"/>
                <w:b/>
                <w:bCs/>
                <w:color w:val="auto"/>
                <w:sz w:val="21"/>
                <w:szCs w:val="21"/>
                <w:highlight w:val="none"/>
              </w:rPr>
              <w:t>7.55</w:t>
            </w:r>
          </w:p>
        </w:tc>
        <w:tc>
          <w:tcPr>
            <w:tcW w:w="1336"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b/>
                <w:kern w:val="0"/>
                <w:sz w:val="21"/>
                <w:szCs w:val="21"/>
                <w:highlight w:val="none"/>
                <w:lang w:val="en-US" w:eastAsia="zh-CN" w:bidi="ar"/>
              </w:rPr>
            </w:pPr>
            <w:r>
              <w:rPr>
                <w:rFonts w:hint="eastAsia" w:cs="Times New Roman"/>
                <w:b/>
                <w:kern w:val="0"/>
                <w:sz w:val="21"/>
                <w:szCs w:val="21"/>
                <w:highlight w:val="none"/>
                <w:lang w:val="en-US" w:eastAsia="zh-CN" w:bidi="ar"/>
              </w:rPr>
              <w:t>0.0012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vMerge w:val="restar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sz w:val="21"/>
                <w:szCs w:val="21"/>
              </w:rPr>
            </w:pPr>
            <w:r>
              <w:rPr>
                <w:rFonts w:cs="Times New Roman"/>
                <w:color w:val="000000"/>
                <w:sz w:val="21"/>
                <w:szCs w:val="21"/>
              </w:rPr>
              <w:t>非湿地</w:t>
            </w:r>
          </w:p>
        </w:tc>
        <w:tc>
          <w:tcPr>
            <w:tcW w:w="165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sz w:val="21"/>
                <w:szCs w:val="21"/>
              </w:rPr>
            </w:pPr>
            <w:r>
              <w:rPr>
                <w:rFonts w:cs="Times New Roman"/>
                <w:color w:val="000000"/>
                <w:sz w:val="21"/>
                <w:szCs w:val="21"/>
              </w:rPr>
              <w:t>灌丛</w:t>
            </w:r>
          </w:p>
        </w:tc>
        <w:tc>
          <w:tcPr>
            <w:tcW w:w="91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sz w:val="21"/>
                <w:szCs w:val="21"/>
                <w:lang w:val="en-US" w:eastAsia="zh-CN"/>
              </w:rPr>
            </w:pPr>
            <w:r>
              <w:rPr>
                <w:rFonts w:hint="eastAsia" w:cs="Times New Roman"/>
                <w:color w:val="000000"/>
                <w:sz w:val="21"/>
                <w:szCs w:val="21"/>
                <w:lang w:val="en-US" w:eastAsia="zh-CN"/>
              </w:rPr>
              <w:t>31</w:t>
            </w:r>
          </w:p>
        </w:tc>
        <w:tc>
          <w:tcPr>
            <w:tcW w:w="129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sz w:val="21"/>
                <w:szCs w:val="21"/>
                <w:highlight w:val="yellow"/>
                <w:lang w:val="en-US" w:eastAsia="zh-CN"/>
              </w:rPr>
            </w:pPr>
            <w:r>
              <w:rPr>
                <w:rFonts w:hint="eastAsia" w:cs="Times New Roman"/>
                <w:color w:val="000000"/>
                <w:sz w:val="21"/>
                <w:szCs w:val="21"/>
                <w:highlight w:val="none"/>
                <w:lang w:val="en-US" w:eastAsia="zh-CN"/>
              </w:rPr>
              <w:t>22.14</w:t>
            </w:r>
          </w:p>
        </w:tc>
        <w:tc>
          <w:tcPr>
            <w:tcW w:w="115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eastAsia" w:eastAsia="宋体" w:cs="Times New Roman"/>
                <w:sz w:val="21"/>
                <w:szCs w:val="21"/>
                <w:highlight w:val="yellow"/>
                <w:lang w:eastAsia="zh-CN"/>
              </w:rPr>
            </w:pPr>
            <w:r>
              <w:rPr>
                <w:rFonts w:hint="eastAsia" w:cs="Times New Roman"/>
                <w:color w:val="000000"/>
                <w:sz w:val="21"/>
                <w:szCs w:val="21"/>
                <w:highlight w:val="none"/>
              </w:rPr>
              <w:t>108.4</w:t>
            </w:r>
            <w:r>
              <w:rPr>
                <w:rFonts w:hint="eastAsia" w:cs="Times New Roman"/>
                <w:color w:val="000000"/>
                <w:sz w:val="21"/>
                <w:szCs w:val="21"/>
                <w:highlight w:val="none"/>
                <w:lang w:val="en-US" w:eastAsia="zh-CN"/>
              </w:rPr>
              <w:t>2</w:t>
            </w:r>
          </w:p>
        </w:tc>
        <w:tc>
          <w:tcPr>
            <w:tcW w:w="136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19.84</w:t>
            </w:r>
          </w:p>
        </w:tc>
        <w:tc>
          <w:tcPr>
            <w:tcW w:w="1336"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kern w:val="0"/>
                <w:sz w:val="21"/>
                <w:szCs w:val="21"/>
                <w:highlight w:val="none"/>
                <w:lang w:val="en-US" w:eastAsia="zh-CN" w:bidi="ar"/>
              </w:rPr>
            </w:pPr>
            <w:r>
              <w:rPr>
                <w:rFonts w:hint="eastAsia" w:cs="Times New Roman"/>
                <w:kern w:val="0"/>
                <w:sz w:val="21"/>
                <w:szCs w:val="21"/>
                <w:highlight w:val="none"/>
                <w:lang w:val="en-US" w:eastAsia="zh-CN" w:bidi="ar"/>
              </w:rPr>
              <w:t>0.0125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center"/>
              <w:rPr>
                <w:rFonts w:cs="Times New Roman"/>
                <w:sz w:val="21"/>
                <w:szCs w:val="21"/>
              </w:rPr>
            </w:pPr>
          </w:p>
        </w:tc>
        <w:tc>
          <w:tcPr>
            <w:tcW w:w="165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sz w:val="21"/>
                <w:szCs w:val="21"/>
              </w:rPr>
            </w:pPr>
            <w:r>
              <w:rPr>
                <w:rFonts w:cs="Times New Roman"/>
                <w:color w:val="000000"/>
                <w:sz w:val="21"/>
                <w:szCs w:val="21"/>
              </w:rPr>
              <w:t>草地</w:t>
            </w:r>
          </w:p>
        </w:tc>
        <w:tc>
          <w:tcPr>
            <w:tcW w:w="91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sz w:val="21"/>
                <w:szCs w:val="21"/>
                <w:lang w:val="en-US" w:eastAsia="zh-CN"/>
              </w:rPr>
            </w:pPr>
            <w:r>
              <w:rPr>
                <w:rFonts w:hint="eastAsia" w:cs="Times New Roman"/>
                <w:color w:val="000000"/>
                <w:sz w:val="21"/>
                <w:szCs w:val="21"/>
                <w:lang w:val="en-US" w:eastAsia="zh-CN"/>
              </w:rPr>
              <w:t>36</w:t>
            </w:r>
          </w:p>
        </w:tc>
        <w:tc>
          <w:tcPr>
            <w:tcW w:w="129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sz w:val="21"/>
                <w:szCs w:val="21"/>
                <w:highlight w:val="none"/>
                <w:lang w:val="en-US" w:eastAsia="zh-CN"/>
              </w:rPr>
            </w:pPr>
            <w:r>
              <w:rPr>
                <w:rFonts w:hint="eastAsia" w:cs="Times New Roman"/>
                <w:color w:val="000000"/>
                <w:sz w:val="21"/>
                <w:szCs w:val="21"/>
                <w:highlight w:val="none"/>
                <w:lang w:val="en-US" w:eastAsia="zh-CN"/>
              </w:rPr>
              <w:t>25.71</w:t>
            </w:r>
          </w:p>
        </w:tc>
        <w:tc>
          <w:tcPr>
            <w:tcW w:w="115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sz w:val="21"/>
                <w:szCs w:val="21"/>
              </w:rPr>
            </w:pPr>
            <w:r>
              <w:rPr>
                <w:rFonts w:hint="eastAsia" w:cs="Times New Roman"/>
                <w:sz w:val="21"/>
                <w:szCs w:val="21"/>
              </w:rPr>
              <w:t>223.17</w:t>
            </w:r>
          </w:p>
        </w:tc>
        <w:tc>
          <w:tcPr>
            <w:tcW w:w="136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color w:val="auto"/>
                <w:sz w:val="21"/>
                <w:szCs w:val="21"/>
                <w:highlight w:val="none"/>
                <w:lang w:val="en-US" w:eastAsia="zh-CN"/>
              </w:rPr>
            </w:pPr>
            <w:r>
              <w:rPr>
                <w:rFonts w:cs="Times New Roman"/>
                <w:color w:val="auto"/>
                <w:sz w:val="21"/>
                <w:szCs w:val="21"/>
                <w:highlight w:val="none"/>
              </w:rPr>
              <w:t>4</w:t>
            </w:r>
            <w:r>
              <w:rPr>
                <w:rFonts w:hint="eastAsia" w:cs="Times New Roman"/>
                <w:color w:val="auto"/>
                <w:sz w:val="21"/>
                <w:szCs w:val="21"/>
                <w:highlight w:val="none"/>
                <w:lang w:val="en-US" w:eastAsia="zh-CN"/>
              </w:rPr>
              <w:t>0.83</w:t>
            </w:r>
          </w:p>
        </w:tc>
        <w:tc>
          <w:tcPr>
            <w:tcW w:w="1336"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kern w:val="0"/>
                <w:sz w:val="21"/>
                <w:szCs w:val="21"/>
                <w:highlight w:val="none"/>
                <w:lang w:val="en-US" w:eastAsia="zh-CN" w:bidi="ar"/>
              </w:rPr>
            </w:pPr>
            <w:r>
              <w:rPr>
                <w:rFonts w:hint="eastAsia" w:cs="Times New Roman"/>
                <w:kern w:val="0"/>
                <w:sz w:val="21"/>
                <w:szCs w:val="21"/>
                <w:highlight w:val="none"/>
                <w:lang w:val="en-US" w:eastAsia="zh-CN" w:bidi="ar"/>
              </w:rPr>
              <w:t>0.0013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center"/>
              <w:rPr>
                <w:rFonts w:cs="Times New Roman"/>
                <w:sz w:val="21"/>
                <w:szCs w:val="21"/>
              </w:rPr>
            </w:pPr>
          </w:p>
        </w:tc>
        <w:tc>
          <w:tcPr>
            <w:tcW w:w="165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kern w:val="0"/>
                <w:sz w:val="21"/>
                <w:szCs w:val="21"/>
                <w:lang w:bidi="ar"/>
              </w:rPr>
            </w:pPr>
            <w:r>
              <w:rPr>
                <w:rFonts w:cs="Times New Roman"/>
                <w:color w:val="000000"/>
                <w:sz w:val="21"/>
                <w:szCs w:val="21"/>
              </w:rPr>
              <w:t>裸岩</w:t>
            </w:r>
          </w:p>
        </w:tc>
        <w:tc>
          <w:tcPr>
            <w:tcW w:w="91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eastAsia" w:eastAsia="宋体" w:cs="Times New Roman"/>
                <w:kern w:val="0"/>
                <w:sz w:val="21"/>
                <w:szCs w:val="21"/>
                <w:highlight w:val="yellow"/>
                <w:lang w:eastAsia="zh-CN" w:bidi="ar"/>
              </w:rPr>
            </w:pPr>
            <w:r>
              <w:rPr>
                <w:rFonts w:cs="Times New Roman"/>
                <w:color w:val="000000"/>
                <w:sz w:val="21"/>
                <w:szCs w:val="21"/>
                <w:highlight w:val="none"/>
              </w:rPr>
              <w:t>1</w:t>
            </w:r>
            <w:r>
              <w:rPr>
                <w:rFonts w:hint="eastAsia" w:cs="Times New Roman"/>
                <w:color w:val="000000"/>
                <w:sz w:val="21"/>
                <w:szCs w:val="21"/>
                <w:highlight w:val="none"/>
                <w:lang w:val="en-US" w:eastAsia="zh-CN"/>
              </w:rPr>
              <w:t>2</w:t>
            </w:r>
          </w:p>
        </w:tc>
        <w:tc>
          <w:tcPr>
            <w:tcW w:w="129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kern w:val="0"/>
                <w:sz w:val="21"/>
                <w:szCs w:val="21"/>
                <w:highlight w:val="none"/>
                <w:lang w:val="en-US" w:eastAsia="zh-CN" w:bidi="ar"/>
              </w:rPr>
            </w:pPr>
            <w:r>
              <w:rPr>
                <w:rFonts w:hint="eastAsia" w:cs="Times New Roman"/>
                <w:color w:val="000000"/>
                <w:sz w:val="21"/>
                <w:szCs w:val="21"/>
                <w:highlight w:val="none"/>
                <w:lang w:val="en-US" w:eastAsia="zh-CN"/>
              </w:rPr>
              <w:t>8.57</w:t>
            </w:r>
          </w:p>
        </w:tc>
        <w:tc>
          <w:tcPr>
            <w:tcW w:w="115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eastAsia" w:eastAsia="宋体" w:cs="Times New Roman"/>
                <w:kern w:val="0"/>
                <w:sz w:val="21"/>
                <w:szCs w:val="21"/>
                <w:highlight w:val="yellow"/>
                <w:lang w:eastAsia="zh-CN" w:bidi="ar"/>
              </w:rPr>
            </w:pPr>
            <w:r>
              <w:rPr>
                <w:rFonts w:hint="eastAsia" w:cs="Times New Roman"/>
                <w:color w:val="000000"/>
                <w:sz w:val="21"/>
                <w:szCs w:val="21"/>
                <w:highlight w:val="none"/>
              </w:rPr>
              <w:t>3.53</w:t>
            </w:r>
          </w:p>
        </w:tc>
        <w:tc>
          <w:tcPr>
            <w:tcW w:w="136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0.65</w:t>
            </w:r>
          </w:p>
        </w:tc>
        <w:tc>
          <w:tcPr>
            <w:tcW w:w="1336"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kern w:val="0"/>
                <w:sz w:val="21"/>
                <w:szCs w:val="21"/>
                <w:highlight w:val="none"/>
                <w:lang w:val="en-US" w:eastAsia="zh-CN" w:bidi="ar"/>
              </w:rPr>
            </w:pPr>
            <w:r>
              <w:rPr>
                <w:rFonts w:hint="eastAsia" w:cs="Times New Roman"/>
                <w:kern w:val="0"/>
                <w:sz w:val="21"/>
                <w:szCs w:val="21"/>
                <w:highlight w:val="none"/>
                <w:lang w:val="en-US" w:eastAsia="zh-CN" w:bidi="ar"/>
              </w:rPr>
              <w:t>0.1184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center"/>
              <w:rPr>
                <w:rFonts w:cs="Times New Roman"/>
                <w:sz w:val="21"/>
                <w:szCs w:val="21"/>
              </w:rPr>
            </w:pPr>
          </w:p>
        </w:tc>
        <w:tc>
          <w:tcPr>
            <w:tcW w:w="165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kern w:val="0"/>
                <w:sz w:val="21"/>
                <w:szCs w:val="21"/>
                <w:lang w:bidi="ar"/>
              </w:rPr>
            </w:pPr>
            <w:r>
              <w:rPr>
                <w:rFonts w:cs="Times New Roman"/>
                <w:color w:val="000000"/>
                <w:sz w:val="21"/>
                <w:szCs w:val="21"/>
              </w:rPr>
              <w:t>未利用地</w:t>
            </w:r>
          </w:p>
        </w:tc>
        <w:tc>
          <w:tcPr>
            <w:tcW w:w="91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eastAsia" w:eastAsia="宋体" w:cs="Times New Roman"/>
                <w:kern w:val="0"/>
                <w:sz w:val="21"/>
                <w:szCs w:val="21"/>
                <w:highlight w:val="yellow"/>
                <w:lang w:eastAsia="zh-CN" w:bidi="ar"/>
              </w:rPr>
            </w:pPr>
            <w:r>
              <w:rPr>
                <w:rFonts w:hint="eastAsia" w:cs="Times New Roman"/>
                <w:color w:val="000000"/>
                <w:sz w:val="21"/>
                <w:szCs w:val="21"/>
                <w:highlight w:val="none"/>
                <w:lang w:val="en-US" w:eastAsia="zh-CN"/>
              </w:rPr>
              <w:t>1</w:t>
            </w:r>
          </w:p>
        </w:tc>
        <w:tc>
          <w:tcPr>
            <w:tcW w:w="129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kern w:val="0"/>
                <w:sz w:val="21"/>
                <w:szCs w:val="21"/>
                <w:highlight w:val="none"/>
                <w:lang w:val="en-US" w:eastAsia="zh-CN" w:bidi="ar"/>
              </w:rPr>
            </w:pPr>
            <w:r>
              <w:rPr>
                <w:rFonts w:hint="eastAsia" w:cs="Times New Roman"/>
                <w:color w:val="000000"/>
                <w:sz w:val="21"/>
                <w:szCs w:val="21"/>
                <w:highlight w:val="none"/>
                <w:lang w:val="en-US" w:eastAsia="zh-CN"/>
              </w:rPr>
              <w:t>0.71</w:t>
            </w:r>
          </w:p>
        </w:tc>
        <w:tc>
          <w:tcPr>
            <w:tcW w:w="115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kern w:val="0"/>
                <w:sz w:val="21"/>
                <w:szCs w:val="21"/>
                <w:highlight w:val="yellow"/>
                <w:lang w:bidi="ar"/>
              </w:rPr>
            </w:pPr>
            <w:r>
              <w:rPr>
                <w:rFonts w:hint="eastAsia" w:cs="Times New Roman"/>
                <w:kern w:val="0"/>
                <w:sz w:val="21"/>
                <w:szCs w:val="21"/>
                <w:highlight w:val="none"/>
                <w:lang w:bidi="ar"/>
              </w:rPr>
              <w:t>0.42</w:t>
            </w:r>
          </w:p>
        </w:tc>
        <w:tc>
          <w:tcPr>
            <w:tcW w:w="136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0.08</w:t>
            </w:r>
          </w:p>
        </w:tc>
        <w:tc>
          <w:tcPr>
            <w:tcW w:w="1336"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kern w:val="0"/>
                <w:sz w:val="21"/>
                <w:szCs w:val="21"/>
                <w:highlight w:val="none"/>
                <w:lang w:val="en-US" w:eastAsia="zh-CN" w:bidi="ar"/>
              </w:rPr>
            </w:pPr>
            <w:r>
              <w:rPr>
                <w:rFonts w:hint="eastAsia" w:cs="Times New Roman"/>
                <w:kern w:val="0"/>
                <w:sz w:val="21"/>
                <w:szCs w:val="21"/>
                <w:highlight w:val="none"/>
                <w:lang w:val="en-US" w:eastAsia="zh-CN" w:bidi="ar"/>
              </w:rPr>
              <w:t>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center"/>
              <w:rPr>
                <w:rFonts w:cs="Times New Roman"/>
                <w:sz w:val="21"/>
                <w:szCs w:val="21"/>
              </w:rPr>
            </w:pPr>
          </w:p>
        </w:tc>
        <w:tc>
          <w:tcPr>
            <w:tcW w:w="165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sz w:val="21"/>
                <w:szCs w:val="21"/>
              </w:rPr>
            </w:pPr>
            <w:r>
              <w:rPr>
                <w:rFonts w:cs="Times New Roman"/>
                <w:color w:val="000000"/>
                <w:sz w:val="21"/>
                <w:szCs w:val="21"/>
              </w:rPr>
              <w:t>道路</w:t>
            </w:r>
          </w:p>
        </w:tc>
        <w:tc>
          <w:tcPr>
            <w:tcW w:w="91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eastAsia" w:eastAsia="宋体" w:cs="Times New Roman"/>
                <w:sz w:val="21"/>
                <w:szCs w:val="21"/>
                <w:highlight w:val="none"/>
                <w:lang w:eastAsia="zh-CN"/>
              </w:rPr>
            </w:pPr>
            <w:r>
              <w:rPr>
                <w:rFonts w:hint="eastAsia" w:cs="Times New Roman"/>
                <w:color w:val="000000"/>
                <w:sz w:val="21"/>
                <w:szCs w:val="21"/>
                <w:highlight w:val="none"/>
                <w:lang w:val="en-US" w:eastAsia="zh-CN"/>
              </w:rPr>
              <w:t>5</w:t>
            </w:r>
          </w:p>
        </w:tc>
        <w:tc>
          <w:tcPr>
            <w:tcW w:w="129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sz w:val="21"/>
                <w:szCs w:val="21"/>
                <w:highlight w:val="none"/>
                <w:lang w:val="en-US" w:eastAsia="zh-CN"/>
              </w:rPr>
            </w:pPr>
            <w:r>
              <w:rPr>
                <w:rFonts w:hint="eastAsia" w:cs="Times New Roman"/>
                <w:color w:val="000000"/>
                <w:sz w:val="21"/>
                <w:szCs w:val="21"/>
                <w:highlight w:val="none"/>
                <w:lang w:val="en-US" w:eastAsia="zh-CN"/>
              </w:rPr>
              <w:t>3.57</w:t>
            </w:r>
          </w:p>
        </w:tc>
        <w:tc>
          <w:tcPr>
            <w:tcW w:w="115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color w:val="auto"/>
                <w:sz w:val="21"/>
                <w:szCs w:val="21"/>
                <w:highlight w:val="none"/>
                <w:lang w:val="en-US" w:eastAsia="zh-CN"/>
              </w:rPr>
            </w:pPr>
            <w:r>
              <w:rPr>
                <w:rFonts w:hint="eastAsia" w:cs="Times New Roman"/>
                <w:color w:val="auto"/>
                <w:sz w:val="21"/>
                <w:szCs w:val="21"/>
                <w:highlight w:val="none"/>
              </w:rPr>
              <w:t>5.</w:t>
            </w:r>
            <w:r>
              <w:rPr>
                <w:rFonts w:hint="eastAsia" w:cs="Times New Roman"/>
                <w:color w:val="auto"/>
                <w:sz w:val="21"/>
                <w:szCs w:val="21"/>
                <w:highlight w:val="none"/>
                <w:lang w:val="en-US" w:eastAsia="zh-CN"/>
              </w:rPr>
              <w:t>70</w:t>
            </w:r>
          </w:p>
        </w:tc>
        <w:tc>
          <w:tcPr>
            <w:tcW w:w="136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1.04</w:t>
            </w:r>
          </w:p>
        </w:tc>
        <w:tc>
          <w:tcPr>
            <w:tcW w:w="1336"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kern w:val="0"/>
                <w:sz w:val="21"/>
                <w:szCs w:val="21"/>
                <w:highlight w:val="none"/>
                <w:lang w:val="en-US" w:eastAsia="zh-CN" w:bidi="ar"/>
              </w:rPr>
            </w:pPr>
            <w:r>
              <w:rPr>
                <w:rFonts w:hint="eastAsia" w:cs="Times New Roman"/>
                <w:kern w:val="0"/>
                <w:sz w:val="21"/>
                <w:szCs w:val="21"/>
                <w:highlight w:val="none"/>
                <w:lang w:val="en-US" w:eastAsia="zh-CN" w:bidi="ar"/>
              </w:rPr>
              <w:t>0.0267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center"/>
              <w:rPr>
                <w:rFonts w:cs="Times New Roman"/>
                <w:sz w:val="21"/>
                <w:szCs w:val="21"/>
              </w:rPr>
            </w:pPr>
          </w:p>
        </w:tc>
        <w:tc>
          <w:tcPr>
            <w:tcW w:w="165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sz w:val="21"/>
                <w:szCs w:val="21"/>
              </w:rPr>
            </w:pPr>
            <w:r>
              <w:rPr>
                <w:rFonts w:cs="Times New Roman"/>
                <w:color w:val="000000"/>
                <w:sz w:val="21"/>
                <w:szCs w:val="21"/>
              </w:rPr>
              <w:t>建设用地</w:t>
            </w:r>
          </w:p>
        </w:tc>
        <w:tc>
          <w:tcPr>
            <w:tcW w:w="91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eastAsia" w:eastAsia="宋体" w:cs="Times New Roman"/>
                <w:sz w:val="21"/>
                <w:szCs w:val="21"/>
                <w:highlight w:val="none"/>
                <w:lang w:eastAsia="zh-CN"/>
              </w:rPr>
            </w:pPr>
            <w:r>
              <w:rPr>
                <w:rFonts w:hint="eastAsia" w:cs="Times New Roman"/>
                <w:color w:val="000000"/>
                <w:sz w:val="21"/>
                <w:szCs w:val="21"/>
                <w:highlight w:val="none"/>
                <w:lang w:val="en-US" w:eastAsia="zh-CN"/>
              </w:rPr>
              <w:t>4</w:t>
            </w:r>
          </w:p>
        </w:tc>
        <w:tc>
          <w:tcPr>
            <w:tcW w:w="129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sz w:val="21"/>
                <w:szCs w:val="21"/>
                <w:highlight w:val="none"/>
                <w:lang w:val="en-US" w:eastAsia="zh-CN"/>
              </w:rPr>
            </w:pPr>
            <w:r>
              <w:rPr>
                <w:rFonts w:hint="eastAsia" w:cs="Times New Roman"/>
                <w:color w:val="000000"/>
                <w:sz w:val="21"/>
                <w:szCs w:val="21"/>
                <w:highlight w:val="none"/>
                <w:lang w:val="en-US" w:eastAsia="zh-CN"/>
              </w:rPr>
              <w:t>2.86</w:t>
            </w:r>
          </w:p>
        </w:tc>
        <w:tc>
          <w:tcPr>
            <w:tcW w:w="115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eastAsia" w:eastAsia="宋体" w:cs="Times New Roman"/>
                <w:color w:val="auto"/>
                <w:sz w:val="21"/>
                <w:szCs w:val="21"/>
                <w:highlight w:val="none"/>
                <w:lang w:eastAsia="zh-CN"/>
              </w:rPr>
            </w:pPr>
            <w:r>
              <w:rPr>
                <w:rFonts w:cs="Times New Roman"/>
                <w:color w:val="auto"/>
                <w:sz w:val="21"/>
                <w:szCs w:val="21"/>
                <w:highlight w:val="none"/>
              </w:rPr>
              <w:t>0.</w:t>
            </w:r>
            <w:r>
              <w:rPr>
                <w:rFonts w:hint="eastAsia" w:cs="Times New Roman"/>
                <w:color w:val="auto"/>
                <w:sz w:val="21"/>
                <w:szCs w:val="21"/>
                <w:highlight w:val="none"/>
                <w:lang w:val="en-US" w:eastAsia="zh-CN"/>
              </w:rPr>
              <w:t>08</w:t>
            </w:r>
          </w:p>
        </w:tc>
        <w:tc>
          <w:tcPr>
            <w:tcW w:w="136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0.01</w:t>
            </w:r>
          </w:p>
        </w:tc>
        <w:tc>
          <w:tcPr>
            <w:tcW w:w="1336"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kern w:val="0"/>
                <w:sz w:val="21"/>
                <w:szCs w:val="21"/>
                <w:highlight w:val="none"/>
                <w:lang w:val="en-US" w:eastAsia="zh-CN" w:bidi="ar"/>
              </w:rPr>
            </w:pPr>
            <w:r>
              <w:rPr>
                <w:rFonts w:hint="eastAsia" w:cs="Times New Roman"/>
                <w:kern w:val="0"/>
                <w:sz w:val="21"/>
                <w:szCs w:val="21"/>
                <w:highlight w:val="none"/>
                <w:lang w:val="en-US" w:eastAsia="zh-CN" w:bidi="ar"/>
              </w:rPr>
              <w:t>0.1875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b/>
                <w:sz w:val="21"/>
                <w:szCs w:val="21"/>
              </w:rPr>
            </w:pPr>
            <w:r>
              <w:rPr>
                <w:rFonts w:cs="Times New Roman"/>
                <w:b/>
                <w:bCs/>
                <w:color w:val="000000"/>
                <w:sz w:val="21"/>
                <w:szCs w:val="21"/>
              </w:rPr>
              <w:t>小计</w:t>
            </w:r>
          </w:p>
        </w:tc>
        <w:tc>
          <w:tcPr>
            <w:tcW w:w="165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spacing w:line="240" w:lineRule="auto"/>
              <w:ind w:firstLine="0" w:firstLineChars="0"/>
              <w:jc w:val="center"/>
              <w:rPr>
                <w:rFonts w:cs="Times New Roman"/>
                <w:sz w:val="21"/>
                <w:szCs w:val="21"/>
              </w:rPr>
            </w:pPr>
          </w:p>
        </w:tc>
        <w:tc>
          <w:tcPr>
            <w:tcW w:w="91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b/>
                <w:sz w:val="21"/>
                <w:szCs w:val="21"/>
                <w:lang w:val="en-US" w:eastAsia="zh-CN"/>
              </w:rPr>
            </w:pPr>
            <w:r>
              <w:rPr>
                <w:rFonts w:hint="eastAsia" w:cs="Times New Roman"/>
                <w:b/>
                <w:bCs/>
                <w:color w:val="000000"/>
                <w:sz w:val="21"/>
                <w:szCs w:val="21"/>
                <w:lang w:val="en-US" w:eastAsia="zh-CN"/>
              </w:rPr>
              <w:t>89</w:t>
            </w:r>
          </w:p>
        </w:tc>
        <w:tc>
          <w:tcPr>
            <w:tcW w:w="129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b/>
                <w:sz w:val="21"/>
                <w:szCs w:val="21"/>
                <w:highlight w:val="none"/>
                <w:lang w:val="en-US" w:eastAsia="zh-CN"/>
              </w:rPr>
            </w:pPr>
            <w:r>
              <w:rPr>
                <w:rFonts w:hint="eastAsia" w:cs="Times New Roman"/>
                <w:b/>
                <w:bCs/>
                <w:color w:val="000000"/>
                <w:sz w:val="21"/>
                <w:szCs w:val="21"/>
                <w:highlight w:val="none"/>
                <w:lang w:val="en-US" w:eastAsia="zh-CN"/>
              </w:rPr>
              <w:t>63.57</w:t>
            </w:r>
          </w:p>
        </w:tc>
        <w:tc>
          <w:tcPr>
            <w:tcW w:w="115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b/>
                <w:sz w:val="21"/>
                <w:szCs w:val="21"/>
              </w:rPr>
            </w:pPr>
            <w:r>
              <w:rPr>
                <w:rFonts w:hint="eastAsia" w:cs="Times New Roman"/>
                <w:b/>
                <w:bCs/>
                <w:color w:val="000000"/>
                <w:sz w:val="21"/>
                <w:szCs w:val="21"/>
              </w:rPr>
              <w:t>341.32</w:t>
            </w:r>
          </w:p>
        </w:tc>
        <w:tc>
          <w:tcPr>
            <w:tcW w:w="136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b/>
                <w:color w:val="auto"/>
                <w:sz w:val="21"/>
                <w:szCs w:val="21"/>
                <w:highlight w:val="none"/>
              </w:rPr>
            </w:pPr>
            <w:r>
              <w:rPr>
                <w:rFonts w:hint="eastAsia" w:cs="Times New Roman"/>
                <w:b/>
                <w:bCs/>
                <w:color w:val="auto"/>
                <w:sz w:val="21"/>
                <w:szCs w:val="21"/>
                <w:highlight w:val="none"/>
                <w:lang w:val="en-US" w:eastAsia="zh-CN"/>
              </w:rPr>
              <w:t>62</w:t>
            </w:r>
            <w:r>
              <w:rPr>
                <w:rFonts w:cs="Times New Roman"/>
                <w:b/>
                <w:bCs/>
                <w:color w:val="auto"/>
                <w:sz w:val="21"/>
                <w:szCs w:val="21"/>
                <w:highlight w:val="none"/>
              </w:rPr>
              <w:t>.45</w:t>
            </w:r>
          </w:p>
        </w:tc>
        <w:tc>
          <w:tcPr>
            <w:tcW w:w="1336"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b/>
                <w:kern w:val="0"/>
                <w:sz w:val="21"/>
                <w:szCs w:val="21"/>
                <w:highlight w:val="none"/>
                <w:lang w:val="en-US" w:eastAsia="zh-CN" w:bidi="ar"/>
              </w:rPr>
            </w:pPr>
            <w:r>
              <w:rPr>
                <w:rFonts w:hint="eastAsia" w:cs="Times New Roman"/>
                <w:b/>
                <w:kern w:val="0"/>
                <w:sz w:val="21"/>
                <w:szCs w:val="21"/>
                <w:highlight w:val="none"/>
                <w:lang w:val="en-US" w:eastAsia="zh-CN" w:bidi="ar"/>
              </w:rPr>
              <w:t>0.0013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b/>
                <w:sz w:val="21"/>
                <w:szCs w:val="21"/>
              </w:rPr>
            </w:pPr>
            <w:r>
              <w:rPr>
                <w:rFonts w:cs="Times New Roman"/>
                <w:b/>
                <w:bCs/>
                <w:color w:val="000000"/>
                <w:sz w:val="21"/>
                <w:szCs w:val="21"/>
              </w:rPr>
              <w:t>合计</w:t>
            </w:r>
          </w:p>
        </w:tc>
        <w:tc>
          <w:tcPr>
            <w:tcW w:w="165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adjustRightInd w:val="0"/>
              <w:snapToGrid w:val="0"/>
              <w:spacing w:line="240" w:lineRule="auto"/>
              <w:ind w:firstLine="0" w:firstLineChars="0"/>
              <w:jc w:val="center"/>
              <w:rPr>
                <w:rFonts w:cs="Times New Roman"/>
                <w:sz w:val="21"/>
                <w:szCs w:val="21"/>
              </w:rPr>
            </w:pPr>
          </w:p>
        </w:tc>
        <w:tc>
          <w:tcPr>
            <w:tcW w:w="91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eastAsia" w:eastAsia="宋体" w:cs="Times New Roman"/>
                <w:b/>
                <w:sz w:val="21"/>
                <w:szCs w:val="21"/>
                <w:lang w:eastAsia="zh-CN"/>
              </w:rPr>
            </w:pPr>
            <w:r>
              <w:rPr>
                <w:rFonts w:cs="Times New Roman"/>
                <w:b/>
                <w:bCs/>
                <w:color w:val="000000"/>
                <w:sz w:val="21"/>
                <w:szCs w:val="21"/>
              </w:rPr>
              <w:t>14</w:t>
            </w:r>
            <w:r>
              <w:rPr>
                <w:rFonts w:hint="eastAsia" w:cs="Times New Roman"/>
                <w:b/>
                <w:bCs/>
                <w:color w:val="000000"/>
                <w:sz w:val="21"/>
                <w:szCs w:val="21"/>
                <w:lang w:val="en-US" w:eastAsia="zh-CN"/>
              </w:rPr>
              <w:t>0</w:t>
            </w:r>
          </w:p>
        </w:tc>
        <w:tc>
          <w:tcPr>
            <w:tcW w:w="1295"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b/>
                <w:sz w:val="21"/>
                <w:szCs w:val="21"/>
                <w:highlight w:val="none"/>
              </w:rPr>
            </w:pPr>
            <w:r>
              <w:rPr>
                <w:rFonts w:cs="Times New Roman"/>
                <w:b/>
                <w:bCs/>
                <w:color w:val="000000"/>
                <w:sz w:val="21"/>
                <w:szCs w:val="21"/>
                <w:highlight w:val="none"/>
              </w:rPr>
              <w:t>100.00</w:t>
            </w:r>
          </w:p>
        </w:tc>
        <w:tc>
          <w:tcPr>
            <w:tcW w:w="115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b/>
                <w:sz w:val="21"/>
                <w:szCs w:val="21"/>
                <w:lang w:val="en-US" w:eastAsia="zh-CN"/>
              </w:rPr>
            </w:pPr>
            <w:r>
              <w:rPr>
                <w:rFonts w:hint="eastAsia" w:cs="Times New Roman"/>
                <w:b/>
                <w:bCs/>
                <w:color w:val="000000"/>
                <w:sz w:val="21"/>
                <w:szCs w:val="21"/>
                <w:lang w:val="en-US" w:eastAsia="zh-CN"/>
              </w:rPr>
              <w:t>546.57</w:t>
            </w:r>
          </w:p>
        </w:tc>
        <w:tc>
          <w:tcPr>
            <w:tcW w:w="1364"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cs="Times New Roman"/>
                <w:b/>
                <w:color w:val="auto"/>
                <w:sz w:val="21"/>
                <w:szCs w:val="21"/>
                <w:highlight w:val="none"/>
              </w:rPr>
            </w:pPr>
            <w:r>
              <w:rPr>
                <w:rFonts w:cs="Times New Roman"/>
                <w:b/>
                <w:bCs/>
                <w:color w:val="auto"/>
                <w:sz w:val="21"/>
                <w:szCs w:val="21"/>
                <w:highlight w:val="none"/>
              </w:rPr>
              <w:t>100.00</w:t>
            </w:r>
          </w:p>
        </w:tc>
        <w:tc>
          <w:tcPr>
            <w:tcW w:w="1336"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pPr>
              <w:widowControl/>
              <w:adjustRightInd w:val="0"/>
              <w:snapToGrid w:val="0"/>
              <w:spacing w:line="240" w:lineRule="auto"/>
              <w:ind w:firstLine="0" w:firstLineChars="0"/>
              <w:jc w:val="center"/>
              <w:textAlignment w:val="bottom"/>
              <w:rPr>
                <w:rFonts w:hint="default" w:eastAsia="宋体" w:cs="Times New Roman"/>
                <w:b/>
                <w:kern w:val="0"/>
                <w:sz w:val="21"/>
                <w:szCs w:val="21"/>
                <w:highlight w:val="none"/>
                <w:lang w:val="en-US" w:eastAsia="zh-CN" w:bidi="ar"/>
              </w:rPr>
            </w:pPr>
            <w:r>
              <w:rPr>
                <w:rFonts w:hint="eastAsia" w:cs="Times New Roman"/>
                <w:b/>
                <w:kern w:val="0"/>
                <w:sz w:val="21"/>
                <w:szCs w:val="21"/>
                <w:highlight w:val="none"/>
                <w:lang w:val="en-US" w:eastAsia="zh-CN" w:bidi="ar"/>
              </w:rPr>
              <w:t>0.0013</w:t>
            </w:r>
          </w:p>
        </w:tc>
      </w:tr>
    </w:tbl>
    <w:p>
      <w:pPr>
        <w:ind w:firstLine="480"/>
        <w:rPr>
          <w:rFonts w:hint="eastAsia" w:ascii="Times New Roman" w:hAnsi="Times New Roman" w:eastAsia="宋体" w:cs="Times New Roman"/>
          <w:highlight w:val="none"/>
        </w:rPr>
      </w:pPr>
      <w:r>
        <w:rPr>
          <w:rFonts w:hint="eastAsia" w:ascii="Times New Roman" w:hAnsi="Times New Roman" w:eastAsia="宋体" w:cs="Times New Roman"/>
          <w:highlight w:val="none"/>
        </w:rPr>
        <w:t>从上表可以看出，评价区景观斑块类型可分为灌丛、草地、裸岩、未利用地、道路、建设用地和沼泽湿地、河流湿地等</w:t>
      </w:r>
      <w:r>
        <w:rPr>
          <w:rFonts w:hint="eastAsia" w:ascii="Times New Roman" w:hAnsi="Times New Roman" w:eastAsia="宋体" w:cs="Times New Roman"/>
          <w:highlight w:val="none"/>
          <w:lang w:val="en-US" w:eastAsia="zh-CN"/>
        </w:rPr>
        <w:t>8</w:t>
      </w:r>
      <w:r>
        <w:rPr>
          <w:rFonts w:hint="eastAsia" w:ascii="Times New Roman" w:hAnsi="Times New Roman" w:eastAsia="宋体" w:cs="Times New Roman"/>
          <w:highlight w:val="none"/>
        </w:rPr>
        <w:t>类非湿地和湿地景观。其中面积最大的是草地景观，其面积为</w:t>
      </w:r>
      <w:r>
        <w:rPr>
          <w:rFonts w:hint="eastAsia" w:ascii="Times New Roman" w:hAnsi="Times New Roman" w:eastAsia="宋体" w:cs="Times New Roman"/>
          <w:highlight w:val="none"/>
          <w:lang w:val="en-US" w:eastAsia="zh-CN"/>
        </w:rPr>
        <w:t>223.17</w:t>
      </w:r>
      <w:r>
        <w:rPr>
          <w:rFonts w:hint="eastAsia" w:ascii="Times New Roman" w:hAnsi="Times New Roman" w:eastAsia="宋体" w:cs="Times New Roman"/>
          <w:highlight w:val="none"/>
        </w:rPr>
        <w:t xml:space="preserve"> hm</w:t>
      </w:r>
      <w:r>
        <w:rPr>
          <w:rFonts w:hint="eastAsia" w:ascii="Times New Roman" w:hAnsi="Times New Roman" w:eastAsia="宋体" w:cs="Times New Roman"/>
          <w:highlight w:val="none"/>
          <w:vertAlign w:val="superscript"/>
        </w:rPr>
        <w:t>2</w:t>
      </w:r>
      <w:r>
        <w:rPr>
          <w:rFonts w:hint="eastAsia" w:ascii="Times New Roman" w:hAnsi="Times New Roman" w:eastAsia="宋体" w:cs="Times New Roman"/>
          <w:highlight w:val="none"/>
        </w:rPr>
        <w:t>，占评价区面积的4</w:t>
      </w:r>
      <w:r>
        <w:rPr>
          <w:rFonts w:hint="eastAsia" w:cs="Times New Roman"/>
          <w:highlight w:val="none"/>
          <w:lang w:val="en-US" w:eastAsia="zh-CN"/>
        </w:rPr>
        <w:t>0.83</w:t>
      </w:r>
      <w:r>
        <w:rPr>
          <w:rFonts w:hint="eastAsia" w:ascii="Times New Roman" w:hAnsi="Times New Roman" w:eastAsia="宋体" w:cs="Times New Roman"/>
          <w:highlight w:val="none"/>
        </w:rPr>
        <w:t>%；面积最少的是建设用地，面积为0.</w:t>
      </w:r>
      <w:r>
        <w:rPr>
          <w:rFonts w:hint="eastAsia" w:ascii="Times New Roman" w:hAnsi="Times New Roman" w:eastAsia="宋体" w:cs="Times New Roman"/>
          <w:highlight w:val="none"/>
          <w:lang w:val="en-US" w:eastAsia="zh-CN"/>
        </w:rPr>
        <w:t>0</w:t>
      </w:r>
      <w:r>
        <w:rPr>
          <w:rFonts w:hint="eastAsia" w:ascii="Times New Roman" w:hAnsi="Times New Roman" w:eastAsia="宋体" w:cs="Times New Roman"/>
          <w:highlight w:val="none"/>
        </w:rPr>
        <w:t>8 hm</w:t>
      </w:r>
      <w:r>
        <w:rPr>
          <w:rFonts w:hint="eastAsia" w:ascii="Times New Roman" w:hAnsi="Times New Roman" w:eastAsia="宋体" w:cs="Times New Roman"/>
          <w:highlight w:val="none"/>
          <w:vertAlign w:val="superscript"/>
        </w:rPr>
        <w:t>2</w:t>
      </w:r>
      <w:r>
        <w:rPr>
          <w:rFonts w:hint="eastAsia" w:ascii="Times New Roman" w:hAnsi="Times New Roman" w:eastAsia="宋体" w:cs="Times New Roman"/>
          <w:highlight w:val="none"/>
        </w:rPr>
        <w:t>，占评价区面积的0</w:t>
      </w:r>
      <w:r>
        <w:rPr>
          <w:rFonts w:hint="eastAsia" w:cs="Times New Roman"/>
          <w:highlight w:val="none"/>
          <w:lang w:val="en-US" w:eastAsia="zh-CN"/>
        </w:rPr>
        <w:t>.01</w:t>
      </w:r>
      <w:r>
        <w:rPr>
          <w:rFonts w:hint="eastAsia" w:ascii="Times New Roman" w:hAnsi="Times New Roman" w:eastAsia="宋体" w:cs="Times New Roman"/>
          <w:highlight w:val="none"/>
        </w:rPr>
        <w:t>%。针对本次项目</w:t>
      </w:r>
      <w:r>
        <w:rPr>
          <w:rFonts w:hint="eastAsia" w:ascii="Times New Roman" w:hAnsi="Times New Roman" w:eastAsia="宋体" w:cs="Times New Roman"/>
          <w:highlight w:val="none"/>
          <w:lang w:val="en-US" w:eastAsia="zh-CN"/>
        </w:rPr>
        <w:t>的</w:t>
      </w:r>
      <w:r>
        <w:rPr>
          <w:rFonts w:hint="eastAsia" w:ascii="Times New Roman" w:hAnsi="Times New Roman" w:eastAsia="宋体" w:cs="Times New Roman"/>
          <w:highlight w:val="none"/>
        </w:rPr>
        <w:t>性质和影响方式，本次评价重点为评价区内的湿地景观类型。</w:t>
      </w:r>
    </w:p>
    <w:p>
      <w:pPr>
        <w:ind w:firstLine="480"/>
        <w:rPr>
          <w:rFonts w:hint="eastAsia" w:ascii="Times New Roman" w:hAnsi="Times New Roman" w:eastAsia="宋体" w:cs="Times New Roman"/>
          <w:highlight w:val="none"/>
        </w:rPr>
      </w:pPr>
      <w:r>
        <w:rPr>
          <w:rFonts w:hint="eastAsia" w:ascii="Times New Roman" w:hAnsi="Times New Roman" w:eastAsia="宋体" w:cs="Times New Roman"/>
          <w:highlight w:val="none"/>
        </w:rPr>
        <w:t>（</w:t>
      </w:r>
      <w:r>
        <w:rPr>
          <w:rFonts w:hint="eastAsia" w:ascii="Times New Roman" w:hAnsi="Times New Roman" w:eastAsia="宋体" w:cs="Times New Roman"/>
          <w:highlight w:val="none"/>
          <w:lang w:val="en-US" w:eastAsia="zh-CN"/>
        </w:rPr>
        <w:t>1</w:t>
      </w:r>
      <w:r>
        <w:rPr>
          <w:rFonts w:hint="eastAsia" w:ascii="Times New Roman" w:hAnsi="Times New Roman" w:eastAsia="宋体" w:cs="Times New Roman"/>
          <w:highlight w:val="none"/>
        </w:rPr>
        <w:t>）河流湿地</w:t>
      </w:r>
    </w:p>
    <w:p>
      <w:pPr>
        <w:ind w:firstLine="480"/>
        <w:rPr>
          <w:rFonts w:hint="eastAsia" w:ascii="Times New Roman" w:hAnsi="Times New Roman" w:eastAsia="宋体" w:cs="Times New Roman"/>
          <w:highlight w:val="none"/>
        </w:rPr>
      </w:pPr>
      <w:r>
        <w:rPr>
          <w:rFonts w:hint="eastAsia" w:ascii="Times New Roman" w:hAnsi="Times New Roman" w:eastAsia="宋体" w:cs="Times New Roman"/>
          <w:highlight w:val="none"/>
        </w:rPr>
        <w:t>评价区内该类型的湿地面积为</w:t>
      </w:r>
      <w:r>
        <w:rPr>
          <w:rFonts w:hint="eastAsia" w:ascii="Times New Roman" w:hAnsi="Times New Roman" w:eastAsia="宋体" w:cs="Times New Roman"/>
          <w:highlight w:val="none"/>
          <w:lang w:val="en-US" w:eastAsia="zh-CN"/>
        </w:rPr>
        <w:t>27.54</w:t>
      </w:r>
      <w:r>
        <w:rPr>
          <w:rFonts w:hint="eastAsia" w:cs="Times New Roman"/>
          <w:highlight w:val="none"/>
          <w:lang w:val="en-US" w:eastAsia="zh-CN"/>
        </w:rPr>
        <w:t xml:space="preserve"> </w:t>
      </w:r>
      <w:r>
        <w:rPr>
          <w:rFonts w:hint="eastAsia" w:ascii="Times New Roman" w:hAnsi="Times New Roman" w:eastAsia="宋体" w:cs="Times New Roman"/>
          <w:highlight w:val="none"/>
        </w:rPr>
        <w:t>hm</w:t>
      </w:r>
      <w:r>
        <w:rPr>
          <w:rFonts w:hint="eastAsia" w:ascii="Times New Roman" w:hAnsi="Times New Roman" w:eastAsia="宋体" w:cs="Times New Roman"/>
          <w:highlight w:val="none"/>
          <w:vertAlign w:val="superscript"/>
        </w:rPr>
        <w:t>2</w:t>
      </w:r>
      <w:r>
        <w:rPr>
          <w:rFonts w:hint="eastAsia" w:ascii="Times New Roman" w:hAnsi="Times New Roman" w:eastAsia="宋体" w:cs="Times New Roman"/>
          <w:highlight w:val="none"/>
        </w:rPr>
        <w:t>，占评价区总面积的</w:t>
      </w:r>
      <w:r>
        <w:rPr>
          <w:rFonts w:hint="eastAsia" w:cs="Times New Roman"/>
          <w:highlight w:val="none"/>
          <w:lang w:val="en-US" w:eastAsia="zh-CN"/>
        </w:rPr>
        <w:t>5.04</w:t>
      </w:r>
      <w:r>
        <w:rPr>
          <w:rFonts w:hint="eastAsia" w:ascii="Times New Roman" w:hAnsi="Times New Roman" w:eastAsia="宋体" w:cs="Times New Roman"/>
          <w:highlight w:val="none"/>
        </w:rPr>
        <w:t>%，占评价区内湿地总面积的</w:t>
      </w:r>
      <w:r>
        <w:rPr>
          <w:rFonts w:hint="eastAsia" w:cs="Times New Roman"/>
          <w:highlight w:val="none"/>
          <w:lang w:val="en-US" w:eastAsia="zh-CN"/>
        </w:rPr>
        <w:t>13.42</w:t>
      </w:r>
      <w:r>
        <w:rPr>
          <w:rFonts w:hint="eastAsia" w:ascii="Times New Roman" w:hAnsi="Times New Roman" w:eastAsia="宋体" w:cs="Times New Roman"/>
          <w:highlight w:val="none"/>
        </w:rPr>
        <w:t>%。评价区内永久性河流湿地河心滩涂灌木丛生，形成独特的河道景观 ，其中生长部分眼子菜科浮水植物以及隶属于蓼科、杉叶藻科、毛茛科部分种类的挺水植物，也形成了评价区内独特的永久性河流湿地水生植物景观。</w:t>
      </w:r>
    </w:p>
    <w:p>
      <w:pPr>
        <w:ind w:firstLine="480"/>
        <w:rPr>
          <w:rFonts w:hint="eastAsia" w:ascii="Times New Roman" w:hAnsi="Times New Roman" w:eastAsia="宋体" w:cs="Times New Roman"/>
          <w:highlight w:val="none"/>
        </w:rPr>
      </w:pPr>
      <w:r>
        <w:rPr>
          <w:rFonts w:hint="eastAsia" w:ascii="Times New Roman" w:hAnsi="Times New Roman" w:eastAsia="宋体" w:cs="Times New Roman"/>
          <w:highlight w:val="none"/>
        </w:rPr>
        <w:t>（</w:t>
      </w:r>
      <w:r>
        <w:rPr>
          <w:rFonts w:hint="eastAsia" w:ascii="Times New Roman" w:hAnsi="Times New Roman" w:eastAsia="宋体" w:cs="Times New Roman"/>
          <w:highlight w:val="none"/>
          <w:lang w:val="en-US" w:eastAsia="zh-CN"/>
        </w:rPr>
        <w:t>2</w:t>
      </w:r>
      <w:r>
        <w:rPr>
          <w:rFonts w:hint="eastAsia" w:ascii="Times New Roman" w:hAnsi="Times New Roman" w:eastAsia="宋体" w:cs="Times New Roman"/>
          <w:highlight w:val="none"/>
        </w:rPr>
        <w:t>）沼泽湿地</w:t>
      </w:r>
    </w:p>
    <w:p>
      <w:pPr>
        <w:ind w:firstLine="480"/>
        <w:rPr>
          <w:rFonts w:hint="eastAsia" w:ascii="Times New Roman" w:hAnsi="Times New Roman" w:eastAsia="宋体" w:cs="Times New Roman"/>
          <w:highlight w:val="none"/>
        </w:rPr>
      </w:pPr>
      <w:r>
        <w:rPr>
          <w:rFonts w:hint="eastAsia" w:ascii="Times New Roman" w:hAnsi="Times New Roman" w:eastAsia="宋体" w:cs="Times New Roman"/>
          <w:highlight w:val="none"/>
        </w:rPr>
        <w:t>评价区内该类湿地面积为177.7</w:t>
      </w:r>
      <w:r>
        <w:rPr>
          <w:rFonts w:hint="eastAsia" w:ascii="Times New Roman" w:hAnsi="Times New Roman" w:eastAsia="宋体" w:cs="Times New Roman"/>
          <w:highlight w:val="none"/>
          <w:lang w:val="en-US" w:eastAsia="zh-CN"/>
        </w:rPr>
        <w:t xml:space="preserve">1 </w:t>
      </w:r>
      <w:r>
        <w:rPr>
          <w:rFonts w:hint="eastAsia" w:ascii="Times New Roman" w:hAnsi="Times New Roman" w:eastAsia="宋体" w:cs="Times New Roman"/>
          <w:highlight w:val="none"/>
        </w:rPr>
        <w:t>hm</w:t>
      </w:r>
      <w:r>
        <w:rPr>
          <w:rFonts w:hint="eastAsia" w:ascii="Times New Roman" w:hAnsi="Times New Roman" w:eastAsia="宋体" w:cs="Times New Roman"/>
          <w:highlight w:val="none"/>
          <w:vertAlign w:val="superscript"/>
        </w:rPr>
        <w:t>2</w:t>
      </w:r>
      <w:r>
        <w:rPr>
          <w:rFonts w:hint="eastAsia" w:ascii="Times New Roman" w:hAnsi="Times New Roman" w:eastAsia="宋体" w:cs="Times New Roman"/>
          <w:highlight w:val="none"/>
        </w:rPr>
        <w:t>，占评价区总面积的</w:t>
      </w:r>
      <w:r>
        <w:rPr>
          <w:rFonts w:hint="eastAsia" w:cs="Times New Roman"/>
          <w:highlight w:val="none"/>
          <w:lang w:val="en-US" w:eastAsia="zh-CN"/>
        </w:rPr>
        <w:t>32.51</w:t>
      </w:r>
      <w:r>
        <w:rPr>
          <w:rFonts w:hint="eastAsia" w:ascii="Times New Roman" w:hAnsi="Times New Roman" w:eastAsia="宋体" w:cs="Times New Roman"/>
          <w:highlight w:val="none"/>
        </w:rPr>
        <w:t>%，占评价区湿地总面积的</w:t>
      </w:r>
      <w:r>
        <w:rPr>
          <w:rFonts w:hint="eastAsia" w:cs="Times New Roman"/>
          <w:highlight w:val="none"/>
          <w:lang w:val="en-US" w:eastAsia="zh-CN"/>
        </w:rPr>
        <w:t>86.58</w:t>
      </w:r>
      <w:r>
        <w:rPr>
          <w:rFonts w:hint="eastAsia" w:ascii="Times New Roman" w:hAnsi="Times New Roman" w:eastAsia="宋体" w:cs="Times New Roman"/>
          <w:highlight w:val="none"/>
        </w:rPr>
        <w:t>%。这种湿地类型经常极度湿润，以苔草及湿生禾本科植物占优势，几乎全为多年生植物。这种沼泽湿地是评价区内高海拔地区沼泽湿地的代表。</w:t>
      </w:r>
    </w:p>
    <w:p>
      <w:pPr>
        <w:ind w:firstLine="480"/>
        <w:rPr>
          <w:rFonts w:hint="eastAsia" w:ascii="Times New Roman" w:hAnsi="Times New Roman" w:eastAsia="宋体" w:cs="Times New Roman"/>
          <w:highlight w:val="none"/>
        </w:rPr>
      </w:pPr>
      <w:r>
        <w:rPr>
          <w:rFonts w:hint="eastAsia" w:ascii="Times New Roman" w:hAnsi="Times New Roman" w:eastAsia="宋体" w:cs="Times New Roman"/>
          <w:highlight w:val="none"/>
        </w:rPr>
        <w:t>另外，评价区的部分湿地动物，特别是湿地鸟类资源不可或缺，与上述湿地形成一个整体，构成了评价区的湿地景观资源。</w:t>
      </w:r>
    </w:p>
    <w:p>
      <w:pPr>
        <w:ind w:firstLine="480"/>
        <w:rPr>
          <w:rFonts w:hint="eastAsia" w:ascii="Times New Roman" w:hAnsi="Times New Roman" w:eastAsia="宋体" w:cs="Times New Roman"/>
          <w:highlight w:val="none"/>
        </w:rPr>
      </w:pPr>
      <w:r>
        <w:rPr>
          <w:rFonts w:hint="eastAsia" w:ascii="Times New Roman" w:hAnsi="Times New Roman" w:eastAsia="宋体" w:cs="Times New Roman"/>
          <w:highlight w:val="none"/>
        </w:rPr>
        <w:t>综上所述，评价区地处大渡河上游东源青藏高原高寒湿地区，包含了青藏高原区的最典型的湿地类型，是中国特有的青藏高原高寒湿地类型的缩影，因而其湿地类型的典型性和代表性相对较强。</w:t>
      </w:r>
    </w:p>
    <w:p>
      <w:pPr>
        <w:pStyle w:val="5"/>
        <w:numPr>
          <w:ilvl w:val="2"/>
          <w:numId w:val="0"/>
        </w:numPr>
        <w:ind w:leftChars="0"/>
        <w:rPr>
          <w:rFonts w:cs="Times New Roman"/>
        </w:rPr>
      </w:pPr>
      <w:r>
        <w:rPr>
          <w:rFonts w:hint="eastAsia" w:cs="Times New Roman"/>
          <w:lang w:val="en-US" w:eastAsia="zh-CN"/>
        </w:rPr>
        <w:t xml:space="preserve">4.5.3 </w:t>
      </w:r>
      <w:r>
        <w:rPr>
          <w:rFonts w:cs="Times New Roman"/>
        </w:rPr>
        <w:t>湿地保护与可持续利用现状</w:t>
      </w:r>
    </w:p>
    <w:p>
      <w:pPr>
        <w:adjustRightInd w:val="0"/>
        <w:snapToGrid w:val="0"/>
        <w:ind w:firstLine="480"/>
        <w:rPr>
          <w:rFonts w:hint="eastAsia" w:cs="Times New Roman"/>
        </w:rPr>
      </w:pPr>
      <w:r>
        <w:rPr>
          <w:rFonts w:hint="eastAsia" w:cs="Times New Roman"/>
        </w:rPr>
        <w:t>大渡河是长江最大支流——岷江的一级支流，发源于青海省与四川省交界的果洛山（又名莲宝叶则山）东南麓，分东西两源。东源有阿柯河和麻尔柯河，于阿坝南部汇合后称脚木足河。</w:t>
      </w:r>
    </w:p>
    <w:p>
      <w:pPr>
        <w:adjustRightInd w:val="0"/>
        <w:snapToGrid w:val="0"/>
        <w:ind w:firstLine="480"/>
        <w:rPr>
          <w:rFonts w:hint="eastAsia" w:cs="Times New Roman"/>
        </w:rPr>
      </w:pPr>
      <w:r>
        <w:rPr>
          <w:rFonts w:hint="eastAsia" w:cs="Times New Roman"/>
        </w:rPr>
        <w:t>湿地公园所在的扎嘎尔河和章木河（两条河均发源于湿地公园所在区域）在两河口汇合后，于两河口下游约2km处汇入发源于青海省境内的龙尕曲，因此，湿地公园所在区域也是龙尕曲的重要源头区域之一。龙尕曲继续向下流，并在四川省阿坝县安斗乡克柯上游约3km处注入发源于青海省境内的克柯河（柯曲），克柯河流经阿坝安斗乡后始称阿柯河（阿曲），成为大渡河东源重要的支流。因此，在此建立湿地公园，从源头地区对大渡河进行保护，在整个大渡河流域均具有很好的示范作用。同时，对保护大渡河水安全和生态安全，以及促进下游经济发展方面都具有重要意义。</w:t>
      </w:r>
    </w:p>
    <w:p>
      <w:pPr>
        <w:adjustRightInd w:val="0"/>
        <w:snapToGrid w:val="0"/>
        <w:ind w:firstLine="480"/>
        <w:rPr>
          <w:rFonts w:hint="eastAsia" w:cs="Times New Roman"/>
        </w:rPr>
      </w:pPr>
      <w:r>
        <w:rPr>
          <w:rFonts w:hint="eastAsia" w:cs="Times New Roman"/>
        </w:rPr>
        <w:t>四川莲宝叶则国家湿地公园规划范围位于四川省植被分区体系中的阿、若、红植被小区内，阿、若、红植被小区是四川省典型的亚高山草甸植被地带，在此建立湿地公园，为亚高山草甸植被及其生物多样性的研究提供了良好的平台，具有很好的教科书意义。</w:t>
      </w:r>
    </w:p>
    <w:p>
      <w:pPr>
        <w:adjustRightInd w:val="0"/>
        <w:snapToGrid w:val="0"/>
        <w:ind w:firstLine="480"/>
        <w:rPr>
          <w:rFonts w:hint="eastAsia" w:cs="Times New Roman"/>
        </w:rPr>
      </w:pPr>
      <w:r>
        <w:rPr>
          <w:rFonts w:hint="eastAsia" w:cs="Times New Roman"/>
        </w:rPr>
        <w:t>湿地公园规划区域位于四川莲宝叶则山山脚下的河谷内，莲宝叶则山是安多藏区的三大神山之一，是藏区人们朝拜的圣地，同时，由于藏族民族英雄格萨尔王的广泛传说而使该地区被赋予了浓厚的人文色彩。在此建立国家湿地公园，对保护和弘扬安多藏区文化，增进各民族交流，维护藏区稳定都具有很好的示范意义。</w:t>
      </w:r>
    </w:p>
    <w:p>
      <w:pPr>
        <w:adjustRightInd w:val="0"/>
        <w:snapToGrid w:val="0"/>
        <w:ind w:firstLine="480"/>
        <w:rPr>
          <w:rFonts w:cs="Times New Roman"/>
        </w:rPr>
      </w:pPr>
      <w:r>
        <w:rPr>
          <w:rFonts w:hint="eastAsia" w:cs="Times New Roman"/>
        </w:rPr>
        <w:t>作为重要的观赏景观，莲宝叶则神山在国内外已有一定的知名度，每年慕名而来的国内外游客不断，为湿地公园的建设发展奠定了良好的基础。</w:t>
      </w:r>
    </w:p>
    <w:p>
      <w:pPr>
        <w:pStyle w:val="5"/>
        <w:numPr>
          <w:ilvl w:val="2"/>
          <w:numId w:val="0"/>
        </w:numPr>
        <w:ind w:leftChars="0"/>
        <w:jc w:val="both"/>
        <w:rPr>
          <w:rFonts w:cs="Times New Roman"/>
          <w:szCs w:val="28"/>
        </w:rPr>
      </w:pPr>
      <w:bookmarkStart w:id="26" w:name="_Toc43284913"/>
      <w:r>
        <w:rPr>
          <w:rFonts w:hint="eastAsia" w:cs="Times New Roman"/>
          <w:szCs w:val="28"/>
          <w:lang w:val="en-US" w:eastAsia="zh-CN"/>
        </w:rPr>
        <w:t xml:space="preserve">4.5.4 </w:t>
      </w:r>
      <w:r>
        <w:rPr>
          <w:rFonts w:cs="Times New Roman"/>
          <w:szCs w:val="28"/>
        </w:rPr>
        <w:t>对经济效益的影响</w:t>
      </w:r>
      <w:bookmarkEnd w:id="26"/>
    </w:p>
    <w:p>
      <w:pPr>
        <w:adjustRightInd w:val="0"/>
        <w:snapToGrid w:val="0"/>
        <w:ind w:firstLine="480"/>
        <w:rPr>
          <w:rFonts w:hint="eastAsia" w:ascii="Times New Roman" w:hAnsi="Times New Roman" w:eastAsia="宋体" w:cs="Times New Roman"/>
        </w:rPr>
      </w:pPr>
      <w:r>
        <w:rPr>
          <w:rFonts w:hint="eastAsia" w:ascii="Times New Roman" w:hAnsi="Times New Roman" w:eastAsia="宋体" w:cs="Times New Roman"/>
        </w:rPr>
        <w:t>阿坝县生态环境脆弱，经济结构单一，无法从事工业生产，农业可利用土地少，基础薄弱。本项目利用莲宝叶则良好的生态环境，发展生态旅游，是带动全县人民致富的有效举措，可以将自然资源、生态环境资源优势转化为经济优势，推动经济结构调整，培育特色产业，促进生态建设和环境保护。</w:t>
      </w:r>
    </w:p>
    <w:p>
      <w:pPr>
        <w:adjustRightInd w:val="0"/>
        <w:snapToGrid w:val="0"/>
        <w:ind w:firstLine="480"/>
        <w:rPr>
          <w:rFonts w:hint="eastAsia" w:ascii="Times New Roman" w:hAnsi="Times New Roman" w:eastAsia="宋体" w:cs="Times New Roman"/>
        </w:rPr>
      </w:pPr>
      <w:r>
        <w:rPr>
          <w:rFonts w:hint="eastAsia" w:ascii="Times New Roman" w:hAnsi="Times New Roman" w:eastAsia="宋体" w:cs="Times New Roman"/>
        </w:rPr>
        <w:t>而且旅游业是劳动密集型产业，涉及面广，带动作用强，需要宾馆、旅行社、邮政、电力、商业、观光牧业等配套产业为其服务，这就为社会创造了更多的就业机会，莲宝叶则旅游区的发展也为当地居民就业提供了大量机会。由于游客的逐年增加，对于外出性的生活需求可促使社区居民在湿地公园周边进行各类经营活动，即满足了外来游客的需求，也提高了自身的经济收入，湿地公园和社区关系更加和谐。</w:t>
      </w:r>
    </w:p>
    <w:p>
      <w:pPr>
        <w:pStyle w:val="5"/>
        <w:numPr>
          <w:ilvl w:val="2"/>
          <w:numId w:val="0"/>
        </w:numPr>
        <w:ind w:leftChars="0"/>
        <w:rPr>
          <w:rFonts w:cs="Times New Roman"/>
        </w:rPr>
      </w:pPr>
      <w:r>
        <w:rPr>
          <w:rFonts w:hint="eastAsia" w:cs="Times New Roman"/>
          <w:lang w:val="en-US" w:eastAsia="zh-CN"/>
        </w:rPr>
        <w:t xml:space="preserve">4.5.5 </w:t>
      </w:r>
      <w:r>
        <w:rPr>
          <w:rFonts w:cs="Times New Roman"/>
        </w:rPr>
        <w:t>湿地功能效益现状</w:t>
      </w:r>
    </w:p>
    <w:p>
      <w:pPr>
        <w:ind w:firstLine="480"/>
        <w:rPr>
          <w:rFonts w:hint="eastAsia" w:cs="Times New Roman"/>
        </w:rPr>
      </w:pPr>
      <w:r>
        <w:rPr>
          <w:rFonts w:hint="eastAsia" w:cs="Times New Roman"/>
        </w:rPr>
        <w:t>湿地公园水系属于长江支流大渡河水系，处于大渡河的上游地区。湿地公园资源特色明显，湿地类型众多，保存较为完好，具有巨大的生态系统服务功能。评价区内的湿地作为湿地公园的组成部分，其湿地功能效益主要体现在以下几个方面。</w:t>
      </w:r>
    </w:p>
    <w:p>
      <w:pPr>
        <w:ind w:firstLine="480"/>
        <w:rPr>
          <w:rFonts w:hint="eastAsia" w:cs="Times New Roman"/>
        </w:rPr>
      </w:pPr>
      <w:r>
        <w:rPr>
          <w:rFonts w:hint="eastAsia" w:cs="Times New Roman"/>
        </w:rPr>
        <w:t>1、评价区</w:t>
      </w:r>
      <w:r>
        <w:rPr>
          <w:rFonts w:hint="eastAsia" w:cs="Times New Roman"/>
          <w:lang w:val="en-US" w:eastAsia="zh-CN"/>
        </w:rPr>
        <w:t>是</w:t>
      </w:r>
      <w:r>
        <w:rPr>
          <w:rFonts w:hint="eastAsia" w:cs="Times New Roman"/>
        </w:rPr>
        <w:t>湿地资源保存相对完好的区域。这些区域是评价区内的自然湿地分布区，该区域的湿地资源在区内天然湿地生态功能的维持和改善、湿地公园整体景观的保持等方面均有重要作用；且在涵养水源、保持水土、维护整个湿地公园生态环境的健康等方面也发挥着不可替代的作用。</w:t>
      </w:r>
    </w:p>
    <w:p>
      <w:pPr>
        <w:ind w:firstLine="480"/>
        <w:rPr>
          <w:rFonts w:hint="eastAsia" w:cs="Times New Roman"/>
        </w:rPr>
      </w:pPr>
      <w:r>
        <w:rPr>
          <w:rFonts w:hint="eastAsia" w:cs="Times New Roman"/>
        </w:rPr>
        <w:t>2、评价区的湿地伴生着许多珍稀野生动物，比如兔狲、鬣羚等大型的兽类，它们或在此繁殖，或在此迁徙过境停留，湿地承载着这类珍稀物种为代表的野生动物的栖息和繁殖场所。</w:t>
      </w:r>
    </w:p>
    <w:p>
      <w:pPr>
        <w:ind w:firstLine="480"/>
        <w:rPr>
          <w:rFonts w:hint="eastAsia" w:cs="Times New Roman"/>
        </w:rPr>
      </w:pPr>
      <w:r>
        <w:rPr>
          <w:rFonts w:hint="eastAsia" w:cs="Times New Roman"/>
        </w:rPr>
        <w:t>3、评价区湿地自湿地公园成立以来，通过新闻报道和互联网信息以及莲宝叶则神山本来在国内外已有一定的知名度，所以莲宝叶则湿地公园开始慢慢被外界知晓，知名度和关注度逐渐提升，由于评价区地内包含了青藏高原区的最典型的湿地类型，是中国特有的青藏高原高寒湿地类型的缩影，其湿地类型的典型性和代表性相对较强，在未来将吸引更多的学者来此进行考察和研究，通过他们的研究成果发表和展示，对湿地公园是一个积极的宣传。同时，更多的旅游者到此感受自然生态，这就要求湿地公园的宣教工作要跟上公园发展的形势，为增强社会公众生态与环保意识，推动湿地保护事业的发展贡献力量。</w:t>
      </w:r>
    </w:p>
    <w:p>
      <w:pPr>
        <w:ind w:firstLine="480"/>
        <w:rPr>
          <w:rFonts w:hint="eastAsia" w:cs="Times New Roman"/>
        </w:rPr>
      </w:pPr>
      <w:r>
        <w:rPr>
          <w:rFonts w:hint="eastAsia" w:cs="Times New Roman"/>
        </w:rPr>
        <w:t>4、本项目建设使得湿地公园基础设施更加完善，观光者越来越多，湿地公园优越的湿地资源和独特的湿地生物多样性，为开展生态旅游和多种经营提供了有利条件。发展合理的生态旅游业和多种经营，不但可以使湿地公园包括评价区内各种湿地类型的价值得以充分体现和发挥，还可以为湿地公园内和周边地区的群众提供大量的就业机会，优化产业结构，有利于社会安定和群众生活水平的提高，有利于促进湿地公园社区共管的良性循环。</w:t>
      </w:r>
    </w:p>
    <w:p>
      <w:pPr>
        <w:widowControl/>
        <w:spacing w:line="240" w:lineRule="auto"/>
        <w:ind w:firstLine="0" w:firstLineChars="0"/>
        <w:jc w:val="left"/>
        <w:rPr>
          <w:rFonts w:cs="Times New Roman"/>
        </w:rPr>
      </w:pPr>
      <w:r>
        <w:rPr>
          <w:rFonts w:cs="Times New Roman"/>
        </w:rPr>
        <w:br w:type="page"/>
      </w:r>
    </w:p>
    <w:p>
      <w:pPr>
        <w:pStyle w:val="2"/>
        <w:numPr>
          <w:ilvl w:val="0"/>
          <w:numId w:val="0"/>
        </w:numPr>
        <w:ind w:leftChars="0"/>
        <w:rPr>
          <w:rFonts w:cs="Times New Roman"/>
        </w:rPr>
      </w:pPr>
      <w:bookmarkStart w:id="27" w:name="_Toc25166"/>
      <w:r>
        <w:rPr>
          <w:rFonts w:hint="eastAsia" w:cs="Times New Roman"/>
          <w:lang w:val="en-US" w:eastAsia="zh-CN"/>
        </w:rPr>
        <w:t xml:space="preserve">5 </w:t>
      </w:r>
      <w:r>
        <w:rPr>
          <w:rFonts w:cs="Times New Roman"/>
        </w:rPr>
        <w:t>生态影响预测</w:t>
      </w:r>
      <w:bookmarkEnd w:id="27"/>
    </w:p>
    <w:p>
      <w:pPr>
        <w:pStyle w:val="3"/>
        <w:numPr>
          <w:ilvl w:val="1"/>
          <w:numId w:val="0"/>
        </w:numPr>
        <w:ind w:leftChars="0"/>
        <w:rPr>
          <w:rFonts w:cs="Times New Roman"/>
        </w:rPr>
      </w:pPr>
      <w:bookmarkStart w:id="28" w:name="_Toc17996"/>
      <w:r>
        <w:rPr>
          <w:rFonts w:hint="eastAsia" w:cs="Times New Roman"/>
          <w:lang w:val="en-US" w:eastAsia="zh-CN"/>
        </w:rPr>
        <w:t xml:space="preserve">5.1 </w:t>
      </w:r>
      <w:r>
        <w:rPr>
          <w:rFonts w:cs="Times New Roman"/>
        </w:rPr>
        <w:t>建设项目对生态环境的影响预测</w:t>
      </w:r>
      <w:bookmarkEnd w:id="28"/>
    </w:p>
    <w:p>
      <w:pPr>
        <w:pStyle w:val="5"/>
        <w:numPr>
          <w:ilvl w:val="2"/>
          <w:numId w:val="0"/>
        </w:numPr>
        <w:ind w:leftChars="0"/>
        <w:rPr>
          <w:rFonts w:cs="Times New Roman"/>
        </w:rPr>
      </w:pPr>
      <w:r>
        <w:rPr>
          <w:rFonts w:hint="eastAsia" w:cs="Times New Roman"/>
          <w:lang w:val="en-US" w:eastAsia="zh-CN"/>
        </w:rPr>
        <w:t xml:space="preserve">5.1.1 </w:t>
      </w:r>
      <w:r>
        <w:rPr>
          <w:rFonts w:cs="Times New Roman"/>
        </w:rPr>
        <w:t>建设项目对非生物因子的影响预测</w:t>
      </w:r>
    </w:p>
    <w:p>
      <w:pPr>
        <w:pStyle w:val="6"/>
        <w:numPr>
          <w:ilvl w:val="0"/>
          <w:numId w:val="0"/>
        </w:numPr>
      </w:pPr>
      <w:r>
        <w:t>5.1.1.1对空气环境的影响预测</w:t>
      </w:r>
    </w:p>
    <w:p>
      <w:pPr>
        <w:ind w:firstLine="482"/>
        <w:rPr>
          <w:rFonts w:cs="Times New Roman"/>
        </w:rPr>
      </w:pPr>
      <w:r>
        <w:rPr>
          <w:rFonts w:cs="Times New Roman"/>
          <w:b/>
        </w:rPr>
        <w:t>施工期：</w:t>
      </w:r>
      <w:r>
        <w:rPr>
          <w:rFonts w:hint="eastAsia" w:cs="Times New Roman"/>
        </w:rPr>
        <w:t>阿坝县莲班路（安斗乡至罗云措沟段）美丽乡村路</w:t>
      </w:r>
      <w:r>
        <w:rPr>
          <w:rFonts w:cs="Times New Roman"/>
        </w:rPr>
        <w:t>珠姆措</w:t>
      </w:r>
      <w:r>
        <w:rPr>
          <w:rFonts w:hint="eastAsia" w:cs="Times New Roman"/>
          <w:lang w:val="en-US" w:eastAsia="zh-CN"/>
        </w:rPr>
        <w:t>路</w:t>
      </w:r>
      <w:r>
        <w:rPr>
          <w:rFonts w:cs="Times New Roman"/>
        </w:rPr>
        <w:t>在湿地公园</w:t>
      </w:r>
      <w:r>
        <w:rPr>
          <w:rFonts w:hint="eastAsia" w:cs="Times New Roman"/>
          <w:lang w:val="en-US" w:eastAsia="zh-CN"/>
        </w:rPr>
        <w:t>内</w:t>
      </w:r>
      <w:r>
        <w:rPr>
          <w:rFonts w:hint="eastAsia" w:cs="Times New Roman"/>
        </w:rPr>
        <w:t>，</w:t>
      </w:r>
      <w:r>
        <w:rPr>
          <w:rFonts w:cs="Times New Roman"/>
          <w:bCs/>
        </w:rPr>
        <w:t>湿地公园内的公路路面施工活动产生粉尘，使</w:t>
      </w:r>
      <w:r>
        <w:rPr>
          <w:rFonts w:hint="eastAsia" w:cs="Times New Roman"/>
          <w:bCs/>
        </w:rPr>
        <w:t>施工</w:t>
      </w:r>
      <w:r>
        <w:rPr>
          <w:rFonts w:cs="Times New Roman"/>
          <w:bCs/>
        </w:rPr>
        <w:t>区域段悬浮物颗粒（TSP）和可吸入颗粒（PM10）增高；施工机械设备产生燃油废气，主要成分SO</w:t>
      </w:r>
      <w:r>
        <w:rPr>
          <w:rFonts w:cs="Times New Roman"/>
          <w:bCs/>
          <w:vertAlign w:val="subscript"/>
        </w:rPr>
        <w:t>2</w:t>
      </w:r>
      <w:r>
        <w:rPr>
          <w:rFonts w:cs="Times New Roman"/>
          <w:bCs/>
        </w:rPr>
        <w:t>、NO</w:t>
      </w:r>
      <w:r>
        <w:rPr>
          <w:rFonts w:cs="Times New Roman"/>
          <w:bCs/>
          <w:vertAlign w:val="subscript"/>
        </w:rPr>
        <w:t>2</w:t>
      </w:r>
      <w:r>
        <w:rPr>
          <w:rFonts w:cs="Times New Roman"/>
          <w:bCs/>
        </w:rPr>
        <w:t>、CO等也会增加</w:t>
      </w:r>
      <w:r>
        <w:rPr>
          <w:rFonts w:hint="eastAsia" w:cs="Times New Roman"/>
          <w:bCs/>
        </w:rPr>
        <w:t>。</w:t>
      </w:r>
      <w:r>
        <w:rPr>
          <w:rFonts w:cs="Times New Roman"/>
          <w:bCs/>
        </w:rPr>
        <w:t>这些扬尘和废气影响评价区的空气质量，</w:t>
      </w:r>
      <w:r>
        <w:rPr>
          <w:rFonts w:hint="eastAsia" w:cs="Times New Roman"/>
          <w:bCs/>
        </w:rPr>
        <w:t>分析</w:t>
      </w:r>
      <w:r>
        <w:rPr>
          <w:rFonts w:cs="Times New Roman"/>
          <w:bCs/>
        </w:rPr>
        <w:t>施工期对评价区空气环境质量的影响较大。</w:t>
      </w:r>
    </w:p>
    <w:p>
      <w:pPr>
        <w:ind w:firstLine="482"/>
        <w:rPr>
          <w:rFonts w:cs="Times New Roman"/>
          <w:bCs/>
        </w:rPr>
      </w:pPr>
      <w:r>
        <w:rPr>
          <w:rFonts w:cs="Times New Roman"/>
          <w:b/>
        </w:rPr>
        <w:t>运营期：</w:t>
      </w:r>
      <w:r>
        <w:rPr>
          <w:rFonts w:cs="Times New Roman"/>
        </w:rPr>
        <w:t>访问周边村民</w:t>
      </w:r>
      <w:r>
        <w:rPr>
          <w:rFonts w:hint="eastAsia" w:cs="Times New Roman"/>
        </w:rPr>
        <w:t>，</w:t>
      </w:r>
      <w:r>
        <w:rPr>
          <w:rFonts w:cs="Times New Roman"/>
        </w:rPr>
        <w:t>改建工程实施前</w:t>
      </w:r>
      <w:r>
        <w:rPr>
          <w:rFonts w:hint="eastAsia" w:cs="Times New Roman"/>
        </w:rPr>
        <w:t>，</w:t>
      </w:r>
      <w:r>
        <w:rPr>
          <w:rFonts w:cs="Times New Roman"/>
        </w:rPr>
        <w:t>由于公路原有道路路面形式为碎石土路（含砾石），</w:t>
      </w:r>
      <w:r>
        <w:rPr>
          <w:rFonts w:hint="eastAsia" w:cs="Times New Roman"/>
        </w:rPr>
        <w:t>晴天车辆行驶产生较多的灰尘，影响区域内的</w:t>
      </w:r>
      <w:r>
        <w:rPr>
          <w:rFonts w:cs="Times New Roman"/>
        </w:rPr>
        <w:t>空气质量</w:t>
      </w:r>
      <w:r>
        <w:rPr>
          <w:rFonts w:hint="eastAsia" w:cs="Times New Roman"/>
        </w:rPr>
        <w:t>；</w:t>
      </w:r>
      <w:r>
        <w:rPr>
          <w:rFonts w:cs="Times New Roman"/>
        </w:rPr>
        <w:t>改建工程实施后</w:t>
      </w:r>
      <w:r>
        <w:rPr>
          <w:rFonts w:hint="eastAsia" w:cs="Times New Roman"/>
        </w:rPr>
        <w:t>，</w:t>
      </w:r>
      <w:r>
        <w:rPr>
          <w:rFonts w:cs="Times New Roman"/>
          <w:bCs/>
        </w:rPr>
        <w:t>道路建成</w:t>
      </w:r>
      <w:r>
        <w:rPr>
          <w:rFonts w:hint="eastAsia" w:cs="Times New Roman"/>
          <w:bCs/>
        </w:rPr>
        <w:t>，</w:t>
      </w:r>
      <w:r>
        <w:rPr>
          <w:rFonts w:cs="Times New Roman"/>
          <w:bCs/>
        </w:rPr>
        <w:t>路况改善，车辆在公路上通行产生的灰尘较道路改建前大大降低</w:t>
      </w:r>
      <w:r>
        <w:rPr>
          <w:rFonts w:hint="eastAsia" w:cs="Times New Roman"/>
          <w:bCs/>
        </w:rPr>
        <w:t>；</w:t>
      </w:r>
      <w:r>
        <w:rPr>
          <w:rFonts w:cs="Times New Roman"/>
          <w:bCs/>
        </w:rPr>
        <w:t>由于道路等级提升，来往车辆逐年增多，汽车尾气的影响持续缓慢增加，但综合考虑区域气候和自然条件等因素，认为项目运营期对空气环境的影响较小。</w:t>
      </w:r>
    </w:p>
    <w:p>
      <w:pPr>
        <w:pStyle w:val="6"/>
        <w:numPr>
          <w:ilvl w:val="0"/>
          <w:numId w:val="0"/>
        </w:numPr>
      </w:pPr>
      <w:r>
        <w:t>5.1.1.2对水环境的影响预测</w:t>
      </w:r>
    </w:p>
    <w:p>
      <w:pPr>
        <w:ind w:firstLine="482"/>
        <w:rPr>
          <w:rFonts w:cs="Times New Roman"/>
        </w:rPr>
      </w:pPr>
      <w:r>
        <w:rPr>
          <w:rFonts w:cs="Times New Roman"/>
          <w:b/>
        </w:rPr>
        <w:t>施工期：</w:t>
      </w:r>
      <w:r>
        <w:rPr>
          <w:rFonts w:hint="eastAsia" w:cs="Times New Roman"/>
        </w:rPr>
        <w:t>改建</w:t>
      </w:r>
      <w:r>
        <w:rPr>
          <w:rFonts w:cs="Times New Roman"/>
        </w:rPr>
        <w:t>道路珠姆措</w:t>
      </w:r>
      <w:r>
        <w:rPr>
          <w:rFonts w:hint="eastAsia" w:cs="Times New Roman"/>
          <w:lang w:val="en-US" w:eastAsia="zh-CN"/>
        </w:rPr>
        <w:t>路</w:t>
      </w:r>
      <w:r>
        <w:rPr>
          <w:rFonts w:cs="Times New Roman"/>
        </w:rPr>
        <w:t>是在湿地公园</w:t>
      </w:r>
      <w:r>
        <w:rPr>
          <w:rFonts w:hint="eastAsia" w:cs="Times New Roman"/>
          <w:lang w:val="en-US" w:eastAsia="zh-CN"/>
        </w:rPr>
        <w:t>内</w:t>
      </w:r>
      <w:r>
        <w:rPr>
          <w:rFonts w:cs="Times New Roman"/>
        </w:rPr>
        <w:t>原有公路的基础上修建的</w:t>
      </w:r>
      <w:r>
        <w:rPr>
          <w:rFonts w:hint="eastAsia" w:cs="Times New Roman"/>
        </w:rPr>
        <w:t>，</w:t>
      </w:r>
      <w:r>
        <w:rPr>
          <w:rFonts w:cs="Times New Roman"/>
        </w:rPr>
        <w:t>项目</w:t>
      </w:r>
      <w:r>
        <w:rPr>
          <w:rFonts w:hint="eastAsia" w:cs="Times New Roman"/>
        </w:rPr>
        <w:t>不在湿地公园水域中施工。</w:t>
      </w:r>
      <w:r>
        <w:rPr>
          <w:rFonts w:cs="Times New Roman"/>
        </w:rPr>
        <w:t>施工活动</w:t>
      </w:r>
      <w:r>
        <w:rPr>
          <w:rFonts w:hint="eastAsia" w:cs="Times New Roman"/>
        </w:rPr>
        <w:t>对湿地公园的水环境的影响主要为紧邻湿地公园路段施工</w:t>
      </w:r>
      <w:r>
        <w:rPr>
          <w:rFonts w:cs="Times New Roman"/>
        </w:rPr>
        <w:t>产生的污水可能进入</w:t>
      </w:r>
      <w:r>
        <w:rPr>
          <w:rFonts w:hint="eastAsia" w:cs="Times New Roman"/>
        </w:rPr>
        <w:t>龙尕曲</w:t>
      </w:r>
      <w:r>
        <w:rPr>
          <w:rFonts w:cs="Times New Roman"/>
        </w:rPr>
        <w:t>河道，产生污染。主要影响有：</w:t>
      </w:r>
      <w:r>
        <w:rPr>
          <w:rFonts w:hint="eastAsia" w:ascii="宋体" w:hAnsi="宋体" w:cs="宋体"/>
        </w:rPr>
        <w:t>①</w:t>
      </w:r>
      <w:r>
        <w:rPr>
          <w:rFonts w:hint="eastAsia" w:cs="Times New Roman"/>
          <w:lang w:val="en-US" w:eastAsia="zh-CN"/>
        </w:rPr>
        <w:t>工程建设</w:t>
      </w:r>
      <w:r>
        <w:rPr>
          <w:rFonts w:cs="Times New Roman"/>
        </w:rPr>
        <w:t>材料在湿地公园周边运输与堆放产生的扬尘落到水体中将会产生干扰影响；</w:t>
      </w:r>
      <w:r>
        <w:rPr>
          <w:rFonts w:hint="eastAsia" w:ascii="宋体" w:hAnsi="宋体" w:cs="宋体"/>
        </w:rPr>
        <w:t>②</w:t>
      </w:r>
      <w:r>
        <w:rPr>
          <w:rFonts w:cs="Times New Roman"/>
        </w:rPr>
        <w:t>紧邻湿地公园施工开挖面受雨水冲刷后泥浆污水进入</w:t>
      </w:r>
      <w:r>
        <w:rPr>
          <w:rFonts w:hint="eastAsia" w:cs="Times New Roman"/>
        </w:rPr>
        <w:t>龙尕曲</w:t>
      </w:r>
      <w:r>
        <w:rPr>
          <w:rFonts w:cs="Times New Roman"/>
        </w:rPr>
        <w:t>，给水体造成污染；</w:t>
      </w:r>
      <w:r>
        <w:rPr>
          <w:rFonts w:hint="eastAsia" w:ascii="宋体" w:hAnsi="宋体" w:cs="宋体"/>
        </w:rPr>
        <w:t>③</w:t>
      </w:r>
      <w:r>
        <w:rPr>
          <w:rFonts w:cs="Times New Roman"/>
        </w:rPr>
        <w:t>施工渣土、泥浆废液汇入</w:t>
      </w:r>
      <w:r>
        <w:rPr>
          <w:rFonts w:hint="eastAsia" w:cs="Times New Roman"/>
        </w:rPr>
        <w:t>龙尕曲</w:t>
      </w:r>
      <w:r>
        <w:rPr>
          <w:rFonts w:cs="Times New Roman"/>
        </w:rPr>
        <w:t>，给水体带来污染；</w:t>
      </w:r>
      <w:r>
        <w:rPr>
          <w:rFonts w:hint="eastAsia" w:ascii="宋体" w:hAnsi="宋体" w:cs="宋体"/>
        </w:rPr>
        <w:t>④</w:t>
      </w:r>
      <w:r>
        <w:rPr>
          <w:rFonts w:cs="Times New Roman"/>
        </w:rPr>
        <w:t>施工机械的运行、维修、护理等过程含油污水的影响，这类油污进入</w:t>
      </w:r>
      <w:r>
        <w:rPr>
          <w:rFonts w:hint="eastAsia" w:cs="Times New Roman"/>
        </w:rPr>
        <w:t>龙尕曲</w:t>
      </w:r>
      <w:r>
        <w:rPr>
          <w:rFonts w:cs="Times New Roman"/>
        </w:rPr>
        <w:t>水体浮于水面，阻碍油水界面的物质交换，水体溶解氧可能下降，对水生生物的生命活动造成不利影响。</w:t>
      </w:r>
    </w:p>
    <w:p>
      <w:pPr>
        <w:ind w:firstLine="482"/>
        <w:rPr>
          <w:rFonts w:hint="eastAsia" w:cs="Times New Roman"/>
        </w:rPr>
      </w:pPr>
      <w:r>
        <w:rPr>
          <w:rFonts w:hint="eastAsia" w:cs="Times New Roman"/>
          <w:lang w:val="en-US" w:eastAsia="zh-CN"/>
        </w:rPr>
        <w:t>施工活动对地表径流的影响主要有</w:t>
      </w:r>
      <w:r>
        <w:rPr>
          <w:rFonts w:hint="eastAsia" w:cs="Times New Roman"/>
        </w:rPr>
        <w:t>修建路基长期或临时改变了表层土壤结构</w:t>
      </w:r>
      <w:r>
        <w:rPr>
          <w:rFonts w:hint="eastAsia" w:cs="Times New Roman"/>
          <w:lang w:val="en-US" w:eastAsia="zh-CN"/>
        </w:rPr>
        <w:t>151.83</w:t>
      </w:r>
      <w:r>
        <w:rPr>
          <w:rFonts w:hint="eastAsia" w:cs="Times New Roman"/>
        </w:rPr>
        <w:t xml:space="preserve"> hm</w:t>
      </w:r>
      <w:r>
        <w:rPr>
          <w:rFonts w:hint="eastAsia" w:cs="Times New Roman"/>
          <w:vertAlign w:val="superscript"/>
        </w:rPr>
        <w:t>2</w:t>
      </w:r>
      <w:r>
        <w:rPr>
          <w:rFonts w:hint="eastAsia" w:cs="Times New Roman"/>
        </w:rPr>
        <w:t>，会使地表水渗透性减弱，土层蓄水能力降低，从而增大工程占地区地表径流</w:t>
      </w:r>
      <w:r>
        <w:rPr>
          <w:rFonts w:hint="eastAsia" w:cs="Times New Roman"/>
          <w:lang w:eastAsia="zh-CN"/>
        </w:rPr>
        <w:t>；</w:t>
      </w:r>
      <w:r>
        <w:rPr>
          <w:rFonts w:hint="eastAsia" w:cs="Times New Roman"/>
        </w:rPr>
        <w:t>工程建设还涉及施工和生活用水取水，但对于整个地表径流容量上，取水量很小，对于评价区水域的径流基本无影响。</w:t>
      </w:r>
    </w:p>
    <w:p>
      <w:pPr>
        <w:ind w:firstLine="482"/>
        <w:rPr>
          <w:rFonts w:hint="eastAsia" w:cs="Times New Roman"/>
        </w:rPr>
      </w:pPr>
      <w:r>
        <w:rPr>
          <w:rFonts w:hint="eastAsia" w:cs="Times New Roman"/>
        </w:rPr>
        <w:t>工程施工对于地下水的影响，主要为挖方路段，破坏了原有地下水层，挖方路段如果位于地下水水位以下，则会导致路基边缘及开挖的山坡出现渗水，导致附近地下水位相对下降。该区域地下水主要来源于降水、河水渗漏和冰雪融水补给，区域内地势平坦，湿地面积所占比例较大，水位埋深一般在大多数地段都小于2m，挖方会使附近地下水位相对略微下降，对整体地下水水位影响很小。同时，区域内的植物生长主要靠大气降水及冰雪融水补给，因此由于挖方而造成的地下水位略微下降对公路沿线的植物生长影响不大。</w:t>
      </w:r>
    </w:p>
    <w:p>
      <w:pPr>
        <w:ind w:firstLine="482"/>
        <w:rPr>
          <w:rFonts w:cs="Times New Roman"/>
        </w:rPr>
      </w:pPr>
      <w:r>
        <w:rPr>
          <w:rFonts w:hint="eastAsia" w:cs="Times New Roman"/>
          <w:bCs/>
        </w:rPr>
        <w:t>分析</w:t>
      </w:r>
      <w:r>
        <w:rPr>
          <w:rFonts w:cs="Times New Roman"/>
          <w:bCs/>
        </w:rPr>
        <w:t>施工期对评价区</w:t>
      </w:r>
      <w:r>
        <w:rPr>
          <w:rFonts w:hint="eastAsia" w:cs="Times New Roman"/>
          <w:bCs/>
        </w:rPr>
        <w:t>水</w:t>
      </w:r>
      <w:r>
        <w:rPr>
          <w:rFonts w:cs="Times New Roman"/>
          <w:bCs/>
        </w:rPr>
        <w:t>环境质量的影响</w:t>
      </w:r>
      <w:r>
        <w:rPr>
          <w:rFonts w:hint="eastAsia" w:cs="Times New Roman"/>
          <w:bCs/>
        </w:rPr>
        <w:t>较小</w:t>
      </w:r>
      <w:r>
        <w:rPr>
          <w:rFonts w:cs="Times New Roman"/>
          <w:bCs/>
        </w:rPr>
        <w:t>。</w:t>
      </w:r>
    </w:p>
    <w:p>
      <w:pPr>
        <w:ind w:firstLine="482"/>
        <w:rPr>
          <w:rFonts w:cs="Times New Roman"/>
        </w:rPr>
      </w:pPr>
      <w:r>
        <w:rPr>
          <w:rFonts w:cs="Times New Roman"/>
          <w:b/>
        </w:rPr>
        <w:t>运营期：</w:t>
      </w:r>
      <w:r>
        <w:rPr>
          <w:rFonts w:hint="eastAsia" w:cs="Times New Roman"/>
          <w:b w:val="0"/>
          <w:bCs/>
        </w:rPr>
        <w:t>工程区由于长期改变了表层土的使用性质，土壤表面硬质化，路基、排水沟、陡峭边坡地段，被各类防水建筑材料覆盖，使雨水渗透性下降，增大部分地表径流量，蓄水能力降低，但只对工程占地区产生影响，呈带状分布，对整个评价区影响较小。</w:t>
      </w:r>
      <w:r>
        <w:rPr>
          <w:rFonts w:hint="eastAsia" w:cs="Times New Roman"/>
          <w:lang w:val="en-US" w:eastAsia="zh-CN"/>
        </w:rPr>
        <w:t>工程结束后</w:t>
      </w:r>
      <w:r>
        <w:rPr>
          <w:rFonts w:hint="eastAsia" w:cs="Times New Roman"/>
        </w:rPr>
        <w:t>，道路</w:t>
      </w:r>
      <w:r>
        <w:rPr>
          <w:rFonts w:cs="Times New Roman"/>
        </w:rPr>
        <w:t>施工创面植被</w:t>
      </w:r>
      <w:r>
        <w:rPr>
          <w:rFonts w:hint="eastAsia" w:cs="Times New Roman"/>
          <w:lang w:val="en-US" w:eastAsia="zh-CN"/>
        </w:rPr>
        <w:t>会</w:t>
      </w:r>
      <w:r>
        <w:rPr>
          <w:rFonts w:hint="eastAsia" w:cs="Times New Roman"/>
        </w:rPr>
        <w:t>大部分</w:t>
      </w:r>
      <w:r>
        <w:rPr>
          <w:rFonts w:cs="Times New Roman"/>
        </w:rPr>
        <w:t>恢复，</w:t>
      </w:r>
      <w:r>
        <w:rPr>
          <w:rFonts w:hint="eastAsia" w:cs="Times New Roman"/>
        </w:rPr>
        <w:t>公路运营</w:t>
      </w:r>
      <w:r>
        <w:rPr>
          <w:rFonts w:cs="Times New Roman"/>
        </w:rPr>
        <w:t>对评价区水体基本无影响。</w:t>
      </w:r>
    </w:p>
    <w:p>
      <w:pPr>
        <w:pStyle w:val="6"/>
        <w:numPr>
          <w:ilvl w:val="0"/>
          <w:numId w:val="0"/>
        </w:numPr>
      </w:pPr>
      <w:r>
        <w:t>5.1.1.3对声环境的影响预测</w:t>
      </w:r>
    </w:p>
    <w:p>
      <w:pPr>
        <w:ind w:firstLine="482"/>
        <w:rPr>
          <w:rFonts w:cs="Times New Roman"/>
        </w:rPr>
      </w:pPr>
      <w:r>
        <w:rPr>
          <w:rFonts w:cs="Times New Roman"/>
          <w:b/>
        </w:rPr>
        <w:t>施工期：</w:t>
      </w:r>
      <w:r>
        <w:rPr>
          <w:rFonts w:cs="Times New Roman"/>
          <w:bCs/>
        </w:rPr>
        <w:t>施工噪声来自</w:t>
      </w:r>
      <w:r>
        <w:rPr>
          <w:rFonts w:hint="eastAsia" w:cs="Times New Roman"/>
          <w:bCs/>
        </w:rPr>
        <w:t>路面</w:t>
      </w:r>
      <w:r>
        <w:rPr>
          <w:rFonts w:cs="Times New Roman"/>
          <w:bCs/>
        </w:rPr>
        <w:t>施工，施工运输车辆等。</w:t>
      </w:r>
      <w:r>
        <w:rPr>
          <w:rFonts w:cs="Times New Roman"/>
        </w:rPr>
        <w:t>本工程常采用的机械设备如挖掘机、推土机、碾压机等在施工时产生的噪声强度一般在60</w:t>
      </w:r>
      <w:r>
        <w:rPr>
          <w:rFonts w:hint="eastAsia" w:cs="Times New Roman"/>
          <w:lang w:val="en-US" w:eastAsia="zh-CN"/>
        </w:rPr>
        <w:t>-</w:t>
      </w:r>
      <w:r>
        <w:rPr>
          <w:rFonts w:cs="Times New Roman"/>
        </w:rPr>
        <w:t>80dB(A)之间，最大可以达到110dB。</w:t>
      </w:r>
    </w:p>
    <w:p>
      <w:pPr>
        <w:ind w:firstLine="480"/>
        <w:rPr>
          <w:rFonts w:cs="Times New Roman"/>
        </w:rPr>
      </w:pPr>
      <w:r>
        <w:rPr>
          <w:rFonts w:cs="Times New Roman"/>
          <w:bCs/>
        </w:rPr>
        <w:t>噪音对评价区的湿地资源影响较小，影响的主要对象为评价区内在湿地公园内栖息活动的野生动物，施工期间在沿线活动的动物数量减少，由于区域内可替代湿地生境较多，动物可向上游</w:t>
      </w:r>
      <w:r>
        <w:rPr>
          <w:rFonts w:hint="eastAsia" w:cs="Times New Roman"/>
          <w:bCs/>
        </w:rPr>
        <w:t>及</w:t>
      </w:r>
      <w:r>
        <w:rPr>
          <w:rFonts w:cs="Times New Roman"/>
          <w:bCs/>
        </w:rPr>
        <w:t>下游河段转移，噪音影响较小。</w:t>
      </w:r>
      <w:r>
        <w:rPr>
          <w:rFonts w:hint="eastAsia" w:cs="Times New Roman"/>
          <w:bCs/>
        </w:rPr>
        <w:t>同时由于公路沿线居民聚集区较</w:t>
      </w:r>
      <w:r>
        <w:rPr>
          <w:rFonts w:hint="eastAsia" w:cs="Times New Roman"/>
          <w:bCs/>
          <w:lang w:val="en-US" w:eastAsia="zh-CN"/>
        </w:rPr>
        <w:t>少</w:t>
      </w:r>
      <w:r>
        <w:rPr>
          <w:rFonts w:hint="eastAsia" w:cs="Times New Roman"/>
          <w:bCs/>
        </w:rPr>
        <w:t>，施工噪声对附近居民的</w:t>
      </w:r>
      <w:r>
        <w:rPr>
          <w:rFonts w:hint="eastAsia" w:cs="Times New Roman"/>
          <w:bCs/>
          <w:lang w:val="en-US" w:eastAsia="zh-CN"/>
        </w:rPr>
        <w:t>生产</w:t>
      </w:r>
      <w:r>
        <w:rPr>
          <w:rFonts w:hint="eastAsia" w:cs="Times New Roman"/>
          <w:bCs/>
        </w:rPr>
        <w:t>生活</w:t>
      </w:r>
      <w:r>
        <w:rPr>
          <w:rFonts w:hint="eastAsia" w:cs="Times New Roman"/>
          <w:bCs/>
          <w:lang w:val="en-US" w:eastAsia="zh-CN"/>
        </w:rPr>
        <w:t>影响较小</w:t>
      </w:r>
      <w:r>
        <w:rPr>
          <w:rFonts w:hint="eastAsia" w:cs="Times New Roman"/>
          <w:bCs/>
        </w:rPr>
        <w:t>。</w:t>
      </w:r>
      <w:r>
        <w:rPr>
          <w:rFonts w:cs="Times New Roman"/>
          <w:bCs/>
        </w:rPr>
        <w:t>因此</w:t>
      </w:r>
      <w:r>
        <w:rPr>
          <w:rFonts w:hint="eastAsia" w:cs="Times New Roman"/>
          <w:bCs/>
        </w:rPr>
        <w:t>，分析</w:t>
      </w:r>
      <w:r>
        <w:rPr>
          <w:rFonts w:cs="Times New Roman"/>
          <w:bCs/>
        </w:rPr>
        <w:t>施工期对评价区声环境的影响较</w:t>
      </w:r>
      <w:r>
        <w:rPr>
          <w:rFonts w:hint="eastAsia" w:cs="Times New Roman"/>
          <w:bCs/>
          <w:lang w:val="en-US" w:eastAsia="zh-CN"/>
        </w:rPr>
        <w:t>小</w:t>
      </w:r>
      <w:r>
        <w:rPr>
          <w:rFonts w:hint="eastAsia" w:cs="Times New Roman"/>
          <w:bCs/>
        </w:rPr>
        <w:t>。</w:t>
      </w:r>
    </w:p>
    <w:p>
      <w:pPr>
        <w:ind w:firstLine="482"/>
        <w:rPr>
          <w:rFonts w:cs="Times New Roman"/>
          <w:bCs/>
        </w:rPr>
      </w:pPr>
      <w:r>
        <w:rPr>
          <w:rFonts w:cs="Times New Roman"/>
          <w:b/>
        </w:rPr>
        <w:t>运营期：</w:t>
      </w:r>
      <w:r>
        <w:rPr>
          <w:rFonts w:cs="Times New Roman"/>
          <w:bCs/>
        </w:rPr>
        <w:t>来往车辆逐年增加，汽车交通噪声随车辆行驶呈流线型干扰，产生的噪音将持续影响评价区靠近道路区域的野生动物以及附近居民，但由于该道路本身就存在很多年</w:t>
      </w:r>
      <w:r>
        <w:rPr>
          <w:rFonts w:hint="eastAsia" w:cs="Times New Roman"/>
          <w:bCs/>
        </w:rPr>
        <w:t>，</w:t>
      </w:r>
      <w:r>
        <w:rPr>
          <w:rFonts w:cs="Times New Roman"/>
          <w:bCs/>
        </w:rPr>
        <w:t>这种影响将随着适应和习惯化慢慢减弱，总体来看影响为小。</w:t>
      </w:r>
    </w:p>
    <w:p>
      <w:pPr>
        <w:pStyle w:val="6"/>
        <w:numPr>
          <w:ilvl w:val="0"/>
          <w:numId w:val="0"/>
        </w:numPr>
      </w:pPr>
      <w:r>
        <w:t>5.1.1.</w:t>
      </w:r>
      <w:r>
        <w:rPr>
          <w:rFonts w:hint="eastAsia"/>
          <w:lang w:val="en-US" w:eastAsia="zh-CN"/>
        </w:rPr>
        <w:t>4</w:t>
      </w:r>
      <w:r>
        <w:t>对</w:t>
      </w:r>
      <w:r>
        <w:rPr>
          <w:rFonts w:hint="eastAsia"/>
          <w:lang w:val="en-US" w:eastAsia="zh-CN"/>
        </w:rPr>
        <w:t>土壤</w:t>
      </w:r>
      <w:r>
        <w:t>的影响预测</w:t>
      </w:r>
    </w:p>
    <w:p>
      <w:pPr>
        <w:ind w:firstLine="482"/>
        <w:rPr>
          <w:rFonts w:hint="eastAsia" w:cs="Times New Roman"/>
          <w:bCs/>
        </w:rPr>
      </w:pPr>
      <w:r>
        <w:rPr>
          <w:rFonts w:cs="Times New Roman"/>
          <w:b/>
        </w:rPr>
        <w:t>施工期：</w:t>
      </w:r>
      <w:r>
        <w:rPr>
          <w:rFonts w:hint="eastAsia" w:cs="Times New Roman"/>
          <w:bCs/>
        </w:rPr>
        <w:t>公路施工期间，施工作业会对</w:t>
      </w:r>
      <w:r>
        <w:rPr>
          <w:rFonts w:hint="eastAsia" w:cs="Times New Roman"/>
          <w:bCs/>
          <w:lang w:val="en-US" w:eastAsia="zh-CN"/>
        </w:rPr>
        <w:t>土壤</w:t>
      </w:r>
      <w:r>
        <w:rPr>
          <w:rFonts w:hint="eastAsia" w:cs="Times New Roman"/>
          <w:bCs/>
        </w:rPr>
        <w:t>造成一定的影响。主要为以下三个方面：①施工机械作业、运输车辆运行，造成土壤污染。挖掘机械、运输车辆等将在保护区内产生HmCn、NOx、SO</w:t>
      </w:r>
      <w:r>
        <w:rPr>
          <w:rFonts w:hint="eastAsia" w:cs="Times New Roman"/>
          <w:bCs/>
          <w:vertAlign w:val="subscript"/>
          <w:lang w:val="en-US" w:eastAsia="zh-CN"/>
        </w:rPr>
        <w:t>2</w:t>
      </w:r>
      <w:r>
        <w:rPr>
          <w:rFonts w:hint="eastAsia" w:cs="Times New Roman"/>
          <w:bCs/>
        </w:rPr>
        <w:t>等有害气体以及Pb等颗粒物，这些物质进入大气后在雨水作用下，将部分进入土壤，对附近区域的土壤造成一定的污染。②运输车辆、施工机械保养、维修等过程中，常用柴油、汽油清洗零部件，而这些油脂可能进入土体，对局部土壤造成污染。③施工人员生活废水、废弃物造成局部土壤污染。废弃物中可能含有一些有毒有害成分，这些物质直接进入土壤中，可能对局部土壤环境和植物生长产生影响。</w:t>
      </w:r>
    </w:p>
    <w:p>
      <w:pPr>
        <w:ind w:firstLine="482"/>
        <w:rPr>
          <w:rFonts w:hint="eastAsia" w:cs="Times New Roman"/>
          <w:bCs/>
        </w:rPr>
      </w:pPr>
      <w:r>
        <w:rPr>
          <w:rFonts w:hint="eastAsia" w:cs="Times New Roman"/>
          <w:bCs/>
        </w:rPr>
        <w:t>综上所述，施工期工程对土</w:t>
      </w:r>
      <w:r>
        <w:rPr>
          <w:rFonts w:hint="eastAsia" w:cs="Times New Roman"/>
          <w:bCs/>
          <w:lang w:val="en-US" w:eastAsia="zh-CN"/>
        </w:rPr>
        <w:t>壤</w:t>
      </w:r>
      <w:r>
        <w:rPr>
          <w:rFonts w:hint="eastAsia" w:cs="Times New Roman"/>
          <w:bCs/>
        </w:rPr>
        <w:t>的影响比较集中且呈条带状分布，但很少会扩散到保护区的其它纵深区域，影响程度相对较弱。其影响预测为小。</w:t>
      </w:r>
    </w:p>
    <w:p>
      <w:pPr>
        <w:ind w:firstLine="482"/>
        <w:rPr>
          <w:rFonts w:hint="eastAsia" w:cs="Times New Roman"/>
          <w:bCs/>
        </w:rPr>
      </w:pPr>
      <w:r>
        <w:rPr>
          <w:rFonts w:cs="Times New Roman"/>
          <w:b/>
        </w:rPr>
        <w:t>运营期：</w:t>
      </w:r>
      <w:r>
        <w:rPr>
          <w:rFonts w:hint="eastAsia" w:cs="Times New Roman"/>
          <w:bCs/>
        </w:rPr>
        <w:t>地利用结构长期性改变。该工程路基等占用的灌木林地、草地、湿地等将永久变为建设用地，征地范围内的植被产生永久性破坏，造成植被覆盖率降低，</w:t>
      </w:r>
      <w:r>
        <w:rPr>
          <w:rFonts w:hint="eastAsia" w:cs="Times New Roman"/>
          <w:bCs/>
          <w:lang w:val="en-US" w:eastAsia="zh-CN"/>
        </w:rPr>
        <w:t>造成</w:t>
      </w:r>
      <w:r>
        <w:rPr>
          <w:rFonts w:hint="eastAsia" w:cs="Times New Roman"/>
          <w:bCs/>
        </w:rPr>
        <w:t>沿线地区的</w:t>
      </w:r>
      <w:r>
        <w:rPr>
          <w:rFonts w:hint="eastAsia" w:cs="Times New Roman"/>
          <w:bCs/>
          <w:lang w:val="en-US" w:eastAsia="zh-CN"/>
        </w:rPr>
        <w:t>土壤流失</w:t>
      </w:r>
      <w:r>
        <w:rPr>
          <w:rFonts w:hint="eastAsia" w:cs="Times New Roman"/>
          <w:bCs/>
        </w:rPr>
        <w:t>。工程建成3年以后，这些地方的植被基本恢复，其保持水土的效能基本能够达到占用前的水平，水土流失量将得到有效控制。</w:t>
      </w:r>
    </w:p>
    <w:p>
      <w:pPr>
        <w:pStyle w:val="5"/>
        <w:numPr>
          <w:ilvl w:val="2"/>
          <w:numId w:val="0"/>
        </w:numPr>
        <w:ind w:leftChars="0"/>
        <w:rPr>
          <w:rFonts w:cs="Times New Roman"/>
          <w:color w:val="auto"/>
        </w:rPr>
      </w:pPr>
      <w:r>
        <w:rPr>
          <w:rFonts w:hint="eastAsia" w:cs="Times New Roman"/>
          <w:color w:val="auto"/>
          <w:lang w:val="en-US" w:eastAsia="zh-CN"/>
        </w:rPr>
        <w:t xml:space="preserve">5.1.2 </w:t>
      </w:r>
      <w:r>
        <w:rPr>
          <w:rFonts w:cs="Times New Roman"/>
          <w:color w:val="auto"/>
        </w:rPr>
        <w:t>对野生植物资源的影响预测</w:t>
      </w:r>
    </w:p>
    <w:p>
      <w:pPr>
        <w:pStyle w:val="6"/>
        <w:numPr>
          <w:ilvl w:val="0"/>
          <w:numId w:val="0"/>
        </w:numPr>
      </w:pPr>
      <w:r>
        <w:t>5.1.2.1施工期</w:t>
      </w:r>
    </w:p>
    <w:p>
      <w:pPr>
        <w:ind w:firstLine="480"/>
        <w:rPr>
          <w:rFonts w:hint="eastAsia" w:cs="Times New Roman"/>
          <w:highlight w:val="none"/>
        </w:rPr>
      </w:pPr>
      <w:r>
        <w:rPr>
          <w:rFonts w:hint="eastAsia" w:cs="Times New Roman"/>
          <w:highlight w:val="none"/>
        </w:rPr>
        <w:t>本项目对于评价区植物多样性和植被的直接影响主要表现在以下方面：</w:t>
      </w:r>
    </w:p>
    <w:p>
      <w:pPr>
        <w:ind w:firstLine="480"/>
        <w:rPr>
          <w:rFonts w:hint="eastAsia" w:cs="Times New Roman"/>
          <w:highlight w:val="none"/>
        </w:rPr>
      </w:pPr>
      <w:r>
        <w:rPr>
          <w:rFonts w:hint="eastAsia" w:cs="Times New Roman"/>
          <w:highlight w:val="none"/>
        </w:rPr>
        <w:t>根据项目建设方案，工程建设必然会对占地区域及邻近动植物带来影响。工程施工中工人的踩踏，材料的丢弃等也可能会对占地区域及邻近动植物带来一些影响，项目实施地点周围分布的主要植物种类和植被类型见表5-1，项目施工必然会对这些植被和植物造成影响，但在严格注意保护环境的前提下本项目不会导致评价区和湿地公园植被类型和植物种类的减少，区域内植被生物量的改变值也是极小的。</w:t>
      </w:r>
    </w:p>
    <w:p>
      <w:pPr>
        <w:spacing w:after="32" w:afterLines="10"/>
        <w:ind w:firstLine="0" w:firstLineChars="0"/>
        <w:jc w:val="center"/>
        <w:rPr>
          <w:rFonts w:cs="Times New Roman"/>
          <w:b/>
          <w:highlight w:val="none"/>
        </w:rPr>
      </w:pPr>
    </w:p>
    <w:p>
      <w:pPr>
        <w:spacing w:after="32" w:afterLines="10"/>
        <w:ind w:firstLine="0" w:firstLineChars="0"/>
        <w:jc w:val="center"/>
        <w:rPr>
          <w:rFonts w:cs="Times New Roman"/>
          <w:b/>
          <w:highlight w:val="none"/>
        </w:rPr>
      </w:pPr>
    </w:p>
    <w:p>
      <w:pPr>
        <w:spacing w:after="32" w:afterLines="10"/>
        <w:ind w:firstLine="0" w:firstLineChars="0"/>
        <w:jc w:val="center"/>
        <w:rPr>
          <w:rFonts w:cs="Times New Roman"/>
          <w:b/>
          <w:highlight w:val="none"/>
        </w:rPr>
      </w:pPr>
    </w:p>
    <w:p>
      <w:pPr>
        <w:spacing w:after="32" w:afterLines="10"/>
        <w:ind w:firstLine="0" w:firstLineChars="0"/>
        <w:jc w:val="center"/>
        <w:rPr>
          <w:rFonts w:cs="Times New Roman"/>
          <w:b/>
          <w:highlight w:val="none"/>
        </w:rPr>
      </w:pPr>
      <w:r>
        <w:rPr>
          <w:rFonts w:cs="Times New Roman"/>
          <w:b/>
          <w:highlight w:val="none"/>
        </w:rPr>
        <w:t>表5-1工程直接占地区植被类型</w:t>
      </w:r>
      <w:r>
        <w:rPr>
          <w:rFonts w:hint="eastAsia" w:cs="Times New Roman"/>
          <w:b/>
          <w:highlight w:val="none"/>
        </w:rPr>
        <w:t>、</w:t>
      </w:r>
      <w:r>
        <w:rPr>
          <w:rFonts w:cs="Times New Roman"/>
          <w:b/>
          <w:highlight w:val="none"/>
        </w:rPr>
        <w:t>主要植物种类</w:t>
      </w:r>
      <w:r>
        <w:rPr>
          <w:rFonts w:hint="eastAsia" w:cs="Times New Roman"/>
          <w:b/>
          <w:highlight w:val="none"/>
        </w:rPr>
        <w:t>一览表</w:t>
      </w:r>
    </w:p>
    <w:tbl>
      <w:tblPr>
        <w:tblStyle w:val="43"/>
        <w:tblW w:w="82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949"/>
        <w:gridCol w:w="1669"/>
        <w:gridCol w:w="960"/>
        <w:gridCol w:w="964"/>
        <w:gridCol w:w="28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851" w:type="dxa"/>
            <w:vAlign w:val="center"/>
          </w:tcPr>
          <w:p>
            <w:pPr>
              <w:spacing w:after="32" w:afterLines="10" w:line="240" w:lineRule="auto"/>
              <w:ind w:firstLine="0" w:firstLineChars="0"/>
              <w:jc w:val="center"/>
              <w:rPr>
                <w:rFonts w:hint="eastAsia" w:cs="Times New Roman" w:asciiTheme="minorHAnsi" w:hAnsiTheme="minorHAnsi" w:eastAsiaTheme="minorEastAsia"/>
                <w:b/>
                <w:bCs/>
                <w:sz w:val="18"/>
                <w:szCs w:val="18"/>
                <w:highlight w:val="none"/>
                <w:lang w:val="en-US" w:eastAsia="zh-CN"/>
              </w:rPr>
            </w:pPr>
            <w:bookmarkStart w:id="29" w:name="_Hlk496884036"/>
            <w:r>
              <w:rPr>
                <w:rFonts w:hint="eastAsia" w:cs="Times New Roman" w:asciiTheme="minorHAnsi" w:hAnsiTheme="minorHAnsi" w:eastAsiaTheme="minorEastAsia"/>
                <w:b/>
                <w:bCs/>
                <w:sz w:val="18"/>
                <w:szCs w:val="18"/>
                <w:highlight w:val="none"/>
                <w:lang w:val="en-US" w:eastAsia="zh-CN"/>
              </w:rPr>
              <w:t>路线</w:t>
            </w:r>
          </w:p>
        </w:tc>
        <w:tc>
          <w:tcPr>
            <w:tcW w:w="949" w:type="dxa"/>
            <w:vAlign w:val="center"/>
          </w:tcPr>
          <w:p>
            <w:pPr>
              <w:spacing w:after="32" w:afterLines="10" w:line="240" w:lineRule="auto"/>
              <w:ind w:firstLine="0" w:firstLineChars="0"/>
              <w:jc w:val="center"/>
              <w:rPr>
                <w:rFonts w:ascii="Times New Roman" w:hAnsi="Times New Roman" w:eastAsia="宋体" w:cs="Times New Roman"/>
                <w:b/>
                <w:bCs/>
                <w:sz w:val="18"/>
                <w:szCs w:val="18"/>
                <w:highlight w:val="none"/>
              </w:rPr>
            </w:pPr>
            <w:r>
              <w:rPr>
                <w:rFonts w:hint="eastAsia" w:cs="Times New Roman" w:asciiTheme="minorHAnsi" w:hAnsiTheme="minorHAnsi" w:eastAsiaTheme="minorEastAsia"/>
                <w:b/>
                <w:bCs/>
                <w:sz w:val="18"/>
                <w:szCs w:val="18"/>
                <w:highlight w:val="none"/>
              </w:rPr>
              <w:t>建设项目</w:t>
            </w:r>
          </w:p>
        </w:tc>
        <w:tc>
          <w:tcPr>
            <w:tcW w:w="1669" w:type="dxa"/>
            <w:vAlign w:val="center"/>
          </w:tcPr>
          <w:p>
            <w:pPr>
              <w:spacing w:after="32" w:afterLines="10" w:line="240" w:lineRule="auto"/>
              <w:ind w:firstLine="0" w:firstLineChars="0"/>
              <w:jc w:val="center"/>
              <w:rPr>
                <w:rFonts w:ascii="Times New Roman" w:hAnsi="Times New Roman" w:eastAsia="宋体" w:cs="Times New Roman"/>
                <w:b/>
                <w:bCs/>
                <w:sz w:val="18"/>
                <w:szCs w:val="18"/>
                <w:highlight w:val="none"/>
              </w:rPr>
            </w:pPr>
            <w:r>
              <w:rPr>
                <w:rFonts w:hint="eastAsia" w:cs="Times New Roman" w:asciiTheme="minorHAnsi" w:hAnsiTheme="minorHAnsi" w:eastAsiaTheme="minorEastAsia"/>
                <w:b/>
                <w:bCs/>
                <w:sz w:val="18"/>
                <w:szCs w:val="18"/>
                <w:highlight w:val="none"/>
              </w:rPr>
              <w:t>路桩号</w:t>
            </w:r>
          </w:p>
        </w:tc>
        <w:tc>
          <w:tcPr>
            <w:tcW w:w="960" w:type="dxa"/>
            <w:vAlign w:val="center"/>
          </w:tcPr>
          <w:p>
            <w:pPr>
              <w:spacing w:after="32" w:afterLines="10" w:line="240" w:lineRule="auto"/>
              <w:ind w:firstLine="0" w:firstLineChars="0"/>
              <w:jc w:val="center"/>
              <w:rPr>
                <w:rFonts w:ascii="Times New Roman" w:hAnsi="Times New Roman" w:eastAsia="宋体" w:cs="Times New Roman"/>
                <w:b/>
                <w:bCs/>
                <w:sz w:val="18"/>
                <w:szCs w:val="18"/>
                <w:highlight w:val="yellow"/>
              </w:rPr>
            </w:pPr>
            <w:r>
              <w:rPr>
                <w:rFonts w:ascii="Times New Roman" w:cs="Times New Roman" w:hAnsiTheme="minorHAnsi" w:eastAsiaTheme="minorEastAsia"/>
                <w:b/>
                <w:bCs/>
                <w:sz w:val="18"/>
                <w:szCs w:val="18"/>
                <w:highlight w:val="none"/>
              </w:rPr>
              <w:t>影响面积（</w:t>
            </w:r>
            <w:r>
              <w:rPr>
                <w:rFonts w:ascii="Times New Roman" w:hAnsi="Times New Roman" w:cs="Times New Roman" w:eastAsiaTheme="minorEastAsia"/>
                <w:b/>
                <w:bCs/>
                <w:sz w:val="18"/>
                <w:szCs w:val="18"/>
                <w:highlight w:val="none"/>
              </w:rPr>
              <w:t>hm</w:t>
            </w:r>
            <w:r>
              <w:rPr>
                <w:rFonts w:ascii="Times New Roman" w:hAnsi="Times New Roman" w:cs="Times New Roman" w:eastAsiaTheme="minorEastAsia"/>
                <w:b/>
                <w:bCs/>
                <w:sz w:val="18"/>
                <w:szCs w:val="18"/>
                <w:highlight w:val="none"/>
                <w:vertAlign w:val="superscript"/>
              </w:rPr>
              <w:t>2</w:t>
            </w:r>
            <w:r>
              <w:rPr>
                <w:rFonts w:ascii="Times New Roman" w:cs="Times New Roman" w:hAnsiTheme="minorHAnsi" w:eastAsiaTheme="minorEastAsia"/>
                <w:b/>
                <w:bCs/>
                <w:sz w:val="18"/>
                <w:szCs w:val="18"/>
                <w:highlight w:val="none"/>
              </w:rPr>
              <w:t>）</w:t>
            </w:r>
          </w:p>
        </w:tc>
        <w:tc>
          <w:tcPr>
            <w:tcW w:w="964" w:type="dxa"/>
            <w:vAlign w:val="center"/>
          </w:tcPr>
          <w:p>
            <w:pPr>
              <w:spacing w:after="32" w:afterLines="10" w:line="240" w:lineRule="auto"/>
              <w:ind w:firstLine="0" w:firstLineChars="0"/>
              <w:jc w:val="center"/>
              <w:rPr>
                <w:rFonts w:ascii="Times New Roman" w:hAnsi="Times New Roman" w:eastAsia="宋体" w:cs="Times New Roman"/>
                <w:b/>
                <w:bCs/>
                <w:color w:val="auto"/>
                <w:sz w:val="18"/>
                <w:szCs w:val="18"/>
                <w:highlight w:val="none"/>
              </w:rPr>
            </w:pPr>
            <w:r>
              <w:rPr>
                <w:rFonts w:hint="eastAsia" w:cs="Times New Roman" w:asciiTheme="minorHAnsi" w:hAnsiTheme="minorHAnsi" w:eastAsiaTheme="minorEastAsia"/>
                <w:b/>
                <w:bCs/>
                <w:color w:val="auto"/>
                <w:sz w:val="18"/>
                <w:szCs w:val="18"/>
                <w:highlight w:val="none"/>
              </w:rPr>
              <w:t>影响植被类型</w:t>
            </w:r>
          </w:p>
        </w:tc>
        <w:tc>
          <w:tcPr>
            <w:tcW w:w="2847" w:type="dxa"/>
            <w:vAlign w:val="center"/>
          </w:tcPr>
          <w:p>
            <w:pPr>
              <w:spacing w:after="32" w:afterLines="10" w:line="240" w:lineRule="auto"/>
              <w:ind w:firstLine="0" w:firstLineChars="0"/>
              <w:jc w:val="center"/>
              <w:rPr>
                <w:rFonts w:ascii="Times New Roman" w:hAnsi="Times New Roman" w:eastAsia="宋体" w:cs="Times New Roman"/>
                <w:b/>
                <w:bCs/>
                <w:sz w:val="18"/>
                <w:szCs w:val="18"/>
                <w:highlight w:val="none"/>
              </w:rPr>
            </w:pPr>
            <w:r>
              <w:rPr>
                <w:rFonts w:hint="eastAsia" w:cs="Times New Roman" w:asciiTheme="minorHAnsi" w:hAnsiTheme="minorHAnsi" w:eastAsiaTheme="minorEastAsia"/>
                <w:b/>
                <w:bCs/>
                <w:sz w:val="18"/>
                <w:szCs w:val="18"/>
                <w:highlight w:val="none"/>
              </w:rPr>
              <w:t>受影响</w:t>
            </w:r>
            <w:r>
              <w:rPr>
                <w:rFonts w:cs="Times New Roman" w:asciiTheme="minorHAnsi" w:hAnsiTheme="minorHAnsi" w:eastAsiaTheme="minorEastAsia"/>
                <w:b/>
                <w:bCs/>
                <w:sz w:val="18"/>
                <w:szCs w:val="18"/>
                <w:highlight w:val="none"/>
              </w:rPr>
              <w:t>主要植物种类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851" w:type="dxa"/>
            <w:vMerge w:val="restart"/>
            <w:vAlign w:val="center"/>
          </w:tcPr>
          <w:p>
            <w:pPr>
              <w:pStyle w:val="14"/>
              <w:spacing w:line="240" w:lineRule="exact"/>
              <w:ind w:firstLine="0" w:firstLineChars="0"/>
              <w:jc w:val="center"/>
              <w:rPr>
                <w:rFonts w:hint="default" w:ascii="Times New Roman" w:hAnsi="Times New Roman" w:cs="Times New Roman" w:eastAsiaTheme="minorEastAsia"/>
                <w:sz w:val="18"/>
                <w:szCs w:val="18"/>
                <w:highlight w:val="none"/>
                <w:lang w:val="en-US" w:eastAsia="zh-CN"/>
              </w:rPr>
            </w:pPr>
            <w:r>
              <w:rPr>
                <w:rFonts w:hint="eastAsia" w:cs="Times New Roman" w:eastAsiaTheme="minorEastAsia"/>
                <w:sz w:val="18"/>
                <w:szCs w:val="18"/>
                <w:highlight w:val="none"/>
                <w:lang w:val="en-US" w:eastAsia="zh-CN"/>
              </w:rPr>
              <w:t>珠姆措段</w:t>
            </w:r>
          </w:p>
        </w:tc>
        <w:tc>
          <w:tcPr>
            <w:tcW w:w="949" w:type="dxa"/>
            <w:vAlign w:val="center"/>
          </w:tcPr>
          <w:p>
            <w:pPr>
              <w:pStyle w:val="14"/>
              <w:spacing w:line="240" w:lineRule="exact"/>
              <w:ind w:firstLine="0" w:firstLineChars="0"/>
              <w:jc w:val="center"/>
              <w:rPr>
                <w:rFonts w:ascii="Times New Roman" w:hAnsi="Times New Roman" w:cs="Times New Roman" w:eastAsiaTheme="minorEastAsia"/>
                <w:sz w:val="18"/>
                <w:szCs w:val="18"/>
                <w:highlight w:val="none"/>
              </w:rPr>
            </w:pPr>
            <w:r>
              <w:rPr>
                <w:rFonts w:ascii="Times New Roman" w:hAnsi="Times New Roman" w:cs="Times New Roman" w:eastAsiaTheme="minorEastAsia"/>
                <w:sz w:val="18"/>
                <w:szCs w:val="18"/>
                <w:highlight w:val="none"/>
              </w:rPr>
              <w:t>路基</w:t>
            </w:r>
          </w:p>
        </w:tc>
        <w:tc>
          <w:tcPr>
            <w:tcW w:w="1669" w:type="dxa"/>
            <w:vAlign w:val="center"/>
          </w:tcPr>
          <w:p>
            <w:pPr>
              <w:ind w:firstLine="0" w:firstLineChars="0"/>
              <w:jc w:val="center"/>
              <w:rPr>
                <w:rFonts w:hint="default" w:ascii="Times New Roman" w:hAnsi="Times New Roman" w:cs="Times New Roman" w:eastAsiaTheme="minorEastAsia"/>
                <w:sz w:val="18"/>
                <w:szCs w:val="18"/>
                <w:highlight w:val="none"/>
                <w:lang w:val="en-US" w:eastAsia="zh-CN"/>
              </w:rPr>
            </w:pPr>
            <w:r>
              <w:rPr>
                <w:rFonts w:hint="eastAsia" w:ascii="Times New Roman" w:hAnsi="Times New Roman" w:cs="Times New Roman" w:eastAsiaTheme="minorEastAsia"/>
                <w:sz w:val="18"/>
                <w:szCs w:val="18"/>
                <w:highlight w:val="none"/>
              </w:rPr>
              <w:t>K</w:t>
            </w:r>
            <w:r>
              <w:rPr>
                <w:rFonts w:hint="eastAsia" w:cs="Times New Roman" w:eastAsiaTheme="minorEastAsia"/>
                <w:sz w:val="18"/>
                <w:szCs w:val="18"/>
                <w:highlight w:val="none"/>
                <w:lang w:val="en-US" w:eastAsia="zh-CN"/>
              </w:rPr>
              <w:t>9</w:t>
            </w:r>
            <w:r>
              <w:rPr>
                <w:rFonts w:hint="eastAsia" w:ascii="Times New Roman" w:hAnsi="Times New Roman" w:cs="Times New Roman" w:eastAsiaTheme="minorEastAsia"/>
                <w:sz w:val="18"/>
                <w:szCs w:val="18"/>
                <w:highlight w:val="none"/>
              </w:rPr>
              <w:t>+</w:t>
            </w:r>
            <w:r>
              <w:rPr>
                <w:rFonts w:hint="eastAsia" w:cs="Times New Roman" w:eastAsiaTheme="minorEastAsia"/>
                <w:sz w:val="18"/>
                <w:szCs w:val="18"/>
                <w:highlight w:val="none"/>
                <w:lang w:val="en-US" w:eastAsia="zh-CN"/>
              </w:rPr>
              <w:t>860</w:t>
            </w:r>
            <w:r>
              <w:rPr>
                <w:rFonts w:hint="eastAsia" w:ascii="Times New Roman" w:hAnsi="Times New Roman" w:cs="Times New Roman" w:eastAsiaTheme="minorEastAsia"/>
                <w:sz w:val="18"/>
                <w:szCs w:val="18"/>
                <w:highlight w:val="none"/>
              </w:rPr>
              <w:t>-K</w:t>
            </w:r>
            <w:r>
              <w:rPr>
                <w:rFonts w:hint="eastAsia" w:cs="Times New Roman" w:eastAsiaTheme="minorEastAsia"/>
                <w:sz w:val="18"/>
                <w:szCs w:val="18"/>
                <w:highlight w:val="none"/>
                <w:lang w:val="en-US" w:eastAsia="zh-CN"/>
              </w:rPr>
              <w:t>10</w:t>
            </w:r>
            <w:r>
              <w:rPr>
                <w:rFonts w:hint="eastAsia" w:ascii="Times New Roman" w:hAnsi="Times New Roman" w:cs="Times New Roman" w:eastAsiaTheme="minorEastAsia"/>
                <w:sz w:val="18"/>
                <w:szCs w:val="18"/>
                <w:highlight w:val="none"/>
              </w:rPr>
              <w:t>+</w:t>
            </w:r>
            <w:r>
              <w:rPr>
                <w:rFonts w:hint="eastAsia" w:cs="Times New Roman" w:eastAsiaTheme="minorEastAsia"/>
                <w:sz w:val="18"/>
                <w:szCs w:val="18"/>
                <w:highlight w:val="none"/>
                <w:lang w:val="en-US" w:eastAsia="zh-CN"/>
              </w:rPr>
              <w:t>074</w:t>
            </w:r>
          </w:p>
        </w:tc>
        <w:tc>
          <w:tcPr>
            <w:tcW w:w="960" w:type="dxa"/>
            <w:vAlign w:val="center"/>
          </w:tcPr>
          <w:p>
            <w:pPr>
              <w:pStyle w:val="14"/>
              <w:spacing w:line="240" w:lineRule="exact"/>
              <w:ind w:firstLine="0" w:firstLineChars="0"/>
              <w:jc w:val="center"/>
              <w:rPr>
                <w:rFonts w:hint="default" w:ascii="Times New Roman" w:hAnsi="Times New Roman" w:cs="Times New Roman" w:eastAsiaTheme="minorEastAsia"/>
                <w:sz w:val="18"/>
                <w:szCs w:val="18"/>
                <w:highlight w:val="none"/>
                <w:lang w:val="en-US" w:eastAsia="zh-CN"/>
              </w:rPr>
            </w:pPr>
            <w:r>
              <w:rPr>
                <w:rFonts w:hint="eastAsia" w:ascii="Times New Roman" w:hAnsi="Times New Roman" w:cs="Times New Roman" w:eastAsiaTheme="minorEastAsia"/>
                <w:sz w:val="18"/>
                <w:szCs w:val="18"/>
                <w:highlight w:val="none"/>
              </w:rPr>
              <w:t>0.</w:t>
            </w:r>
            <w:r>
              <w:rPr>
                <w:rFonts w:hint="eastAsia" w:cs="Times New Roman" w:eastAsiaTheme="minorEastAsia"/>
                <w:sz w:val="18"/>
                <w:szCs w:val="18"/>
                <w:highlight w:val="none"/>
                <w:lang w:val="en-US" w:eastAsia="zh-CN"/>
              </w:rPr>
              <w:t>20</w:t>
            </w:r>
          </w:p>
        </w:tc>
        <w:tc>
          <w:tcPr>
            <w:tcW w:w="964" w:type="dxa"/>
            <w:vAlign w:val="center"/>
          </w:tcPr>
          <w:p>
            <w:pPr>
              <w:pStyle w:val="14"/>
              <w:spacing w:line="240" w:lineRule="exact"/>
              <w:ind w:firstLine="0" w:firstLineChars="0"/>
              <w:jc w:val="center"/>
              <w:rPr>
                <w:rFonts w:ascii="Times New Roman" w:hAnsi="Times New Roman" w:cs="Times New Roman" w:eastAsiaTheme="minorEastAsia"/>
                <w:color w:val="auto"/>
                <w:sz w:val="18"/>
                <w:szCs w:val="18"/>
                <w:highlight w:val="none"/>
              </w:rPr>
            </w:pPr>
            <w:r>
              <w:rPr>
                <w:rFonts w:hint="eastAsia" w:asciiTheme="minorHAnsi" w:hAnsiTheme="minorHAnsi" w:eastAsiaTheme="minorEastAsia"/>
                <w:color w:val="auto"/>
                <w:sz w:val="18"/>
                <w:szCs w:val="18"/>
                <w:highlight w:val="none"/>
                <w:lang w:val="en-US" w:eastAsia="zh-CN"/>
              </w:rPr>
              <w:t>柳</w:t>
            </w:r>
            <w:r>
              <w:rPr>
                <w:rFonts w:asciiTheme="minorHAnsi" w:hAnsiTheme="minorHAnsi" w:eastAsiaTheme="minorEastAsia"/>
                <w:color w:val="auto"/>
                <w:sz w:val="18"/>
                <w:szCs w:val="18"/>
                <w:highlight w:val="none"/>
              </w:rPr>
              <w:t>灌丛</w:t>
            </w:r>
          </w:p>
        </w:tc>
        <w:tc>
          <w:tcPr>
            <w:tcW w:w="2847" w:type="dxa"/>
            <w:vAlign w:val="center"/>
          </w:tcPr>
          <w:p>
            <w:pPr>
              <w:pStyle w:val="14"/>
              <w:spacing w:line="240" w:lineRule="exact"/>
              <w:ind w:firstLine="0" w:firstLineChars="0"/>
              <w:jc w:val="left"/>
              <w:rPr>
                <w:rFonts w:hint="default" w:ascii="Times New Roman" w:hAnsi="Times New Roman" w:cs="Times New Roman" w:eastAsiaTheme="minorEastAsia"/>
                <w:sz w:val="18"/>
                <w:szCs w:val="18"/>
                <w:highlight w:val="none"/>
                <w:lang w:val="en-US" w:eastAsia="zh-CN"/>
              </w:rPr>
            </w:pPr>
            <w:r>
              <w:rPr>
                <w:rFonts w:hint="eastAsia" w:cs="Times New Roman" w:eastAsiaTheme="minorEastAsia"/>
                <w:sz w:val="18"/>
                <w:szCs w:val="18"/>
                <w:highlight w:val="none"/>
                <w:lang w:val="en-US" w:eastAsia="zh-CN"/>
              </w:rPr>
              <w:t>高山柳、发草、苔草、发草、嵩草、垂头菊、花葶驴蹄草、长生毛茛、圆穗蓼、珠芽蓼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851" w:type="dxa"/>
            <w:vMerge w:val="continue"/>
            <w:vAlign w:val="center"/>
          </w:tcPr>
          <w:p>
            <w:pPr>
              <w:pStyle w:val="14"/>
              <w:spacing w:line="240" w:lineRule="exact"/>
              <w:ind w:firstLine="0" w:firstLineChars="0"/>
              <w:jc w:val="center"/>
              <w:rPr>
                <w:rFonts w:ascii="Times New Roman" w:hAnsi="Times New Roman" w:cs="Times New Roman" w:eastAsiaTheme="minorEastAsia"/>
                <w:sz w:val="18"/>
                <w:szCs w:val="18"/>
                <w:highlight w:val="none"/>
              </w:rPr>
            </w:pPr>
          </w:p>
        </w:tc>
        <w:tc>
          <w:tcPr>
            <w:tcW w:w="949" w:type="dxa"/>
            <w:vAlign w:val="center"/>
          </w:tcPr>
          <w:p>
            <w:pPr>
              <w:pStyle w:val="14"/>
              <w:spacing w:line="240" w:lineRule="exact"/>
              <w:ind w:firstLine="0" w:firstLineChars="0"/>
              <w:jc w:val="center"/>
              <w:rPr>
                <w:rFonts w:ascii="Times New Roman" w:hAnsi="Times New Roman" w:cs="Times New Roman" w:eastAsiaTheme="minorEastAsia"/>
                <w:sz w:val="18"/>
                <w:szCs w:val="18"/>
                <w:highlight w:val="none"/>
              </w:rPr>
            </w:pPr>
            <w:r>
              <w:rPr>
                <w:rFonts w:ascii="Times New Roman" w:hAnsi="Times New Roman" w:cs="Times New Roman" w:eastAsiaTheme="minorEastAsia"/>
                <w:sz w:val="18"/>
                <w:szCs w:val="18"/>
                <w:highlight w:val="none"/>
              </w:rPr>
              <w:t>路基</w:t>
            </w:r>
          </w:p>
        </w:tc>
        <w:tc>
          <w:tcPr>
            <w:tcW w:w="1669" w:type="dxa"/>
            <w:vAlign w:val="center"/>
          </w:tcPr>
          <w:p>
            <w:pPr>
              <w:ind w:firstLine="0" w:firstLineChars="0"/>
              <w:jc w:val="center"/>
              <w:rPr>
                <w:rFonts w:ascii="Times New Roman" w:hAnsi="Times New Roman" w:cs="Times New Roman" w:eastAsiaTheme="minorEastAsia"/>
                <w:sz w:val="18"/>
                <w:szCs w:val="18"/>
                <w:highlight w:val="none"/>
              </w:rPr>
            </w:pPr>
            <w:r>
              <w:rPr>
                <w:rFonts w:hint="eastAsia" w:ascii="Times New Roman" w:hAnsi="Times New Roman" w:cs="Times New Roman" w:eastAsiaTheme="minorEastAsia"/>
                <w:sz w:val="18"/>
                <w:szCs w:val="18"/>
                <w:highlight w:val="none"/>
              </w:rPr>
              <w:t>K</w:t>
            </w:r>
            <w:r>
              <w:rPr>
                <w:rFonts w:hint="eastAsia" w:cs="Times New Roman" w:eastAsiaTheme="minorEastAsia"/>
                <w:sz w:val="18"/>
                <w:szCs w:val="18"/>
                <w:highlight w:val="none"/>
                <w:lang w:val="en-US" w:eastAsia="zh-CN"/>
              </w:rPr>
              <w:t>5</w:t>
            </w:r>
            <w:r>
              <w:rPr>
                <w:rFonts w:hint="eastAsia" w:ascii="Times New Roman" w:hAnsi="Times New Roman" w:cs="Times New Roman" w:eastAsiaTheme="minorEastAsia"/>
                <w:sz w:val="18"/>
                <w:szCs w:val="18"/>
                <w:highlight w:val="none"/>
              </w:rPr>
              <w:t>+</w:t>
            </w:r>
            <w:r>
              <w:rPr>
                <w:rFonts w:hint="eastAsia" w:cs="Times New Roman" w:eastAsiaTheme="minorEastAsia"/>
                <w:sz w:val="18"/>
                <w:szCs w:val="18"/>
                <w:highlight w:val="none"/>
                <w:lang w:val="en-US" w:eastAsia="zh-CN"/>
              </w:rPr>
              <w:t>240</w:t>
            </w:r>
            <w:r>
              <w:rPr>
                <w:rFonts w:hint="eastAsia" w:ascii="Times New Roman" w:hAnsi="Times New Roman" w:cs="Times New Roman" w:eastAsiaTheme="minorEastAsia"/>
                <w:sz w:val="18"/>
                <w:szCs w:val="18"/>
                <w:highlight w:val="none"/>
              </w:rPr>
              <w:t>-K</w:t>
            </w:r>
            <w:r>
              <w:rPr>
                <w:rFonts w:hint="eastAsia" w:cs="Times New Roman" w:eastAsiaTheme="minorEastAsia"/>
                <w:sz w:val="18"/>
                <w:szCs w:val="18"/>
                <w:highlight w:val="none"/>
                <w:lang w:val="en-US" w:eastAsia="zh-CN"/>
              </w:rPr>
              <w:t>9</w:t>
            </w:r>
            <w:r>
              <w:rPr>
                <w:rFonts w:hint="eastAsia" w:ascii="Times New Roman" w:hAnsi="Times New Roman" w:cs="Times New Roman" w:eastAsiaTheme="minorEastAsia"/>
                <w:sz w:val="18"/>
                <w:szCs w:val="18"/>
                <w:highlight w:val="none"/>
              </w:rPr>
              <w:t>+</w:t>
            </w:r>
            <w:r>
              <w:rPr>
                <w:rFonts w:hint="eastAsia" w:cs="Times New Roman" w:eastAsiaTheme="minorEastAsia"/>
                <w:sz w:val="18"/>
                <w:szCs w:val="18"/>
                <w:highlight w:val="none"/>
                <w:lang w:val="en-US" w:eastAsia="zh-CN"/>
              </w:rPr>
              <w:t>86</w:t>
            </w:r>
            <w:r>
              <w:rPr>
                <w:rFonts w:hint="eastAsia" w:ascii="Times New Roman" w:hAnsi="Times New Roman" w:cs="Times New Roman" w:eastAsiaTheme="minorEastAsia"/>
                <w:sz w:val="18"/>
                <w:szCs w:val="18"/>
                <w:highlight w:val="none"/>
              </w:rPr>
              <w:t>0</w:t>
            </w:r>
          </w:p>
        </w:tc>
        <w:tc>
          <w:tcPr>
            <w:tcW w:w="960" w:type="dxa"/>
            <w:vAlign w:val="center"/>
          </w:tcPr>
          <w:p>
            <w:pPr>
              <w:pStyle w:val="14"/>
              <w:spacing w:line="240" w:lineRule="exact"/>
              <w:ind w:firstLine="0" w:firstLineChars="0"/>
              <w:jc w:val="center"/>
              <w:rPr>
                <w:rFonts w:hint="default" w:ascii="Times New Roman" w:hAnsi="Times New Roman" w:cs="Times New Roman" w:eastAsiaTheme="minorEastAsia"/>
                <w:sz w:val="18"/>
                <w:szCs w:val="18"/>
                <w:highlight w:val="none"/>
                <w:lang w:val="en-US" w:eastAsia="zh-CN"/>
              </w:rPr>
            </w:pPr>
            <w:r>
              <w:rPr>
                <w:rFonts w:hint="eastAsia" w:cs="Times New Roman" w:eastAsiaTheme="minorEastAsia"/>
                <w:sz w:val="18"/>
                <w:szCs w:val="18"/>
                <w:highlight w:val="none"/>
                <w:lang w:val="en-US" w:eastAsia="zh-CN"/>
              </w:rPr>
              <w:t>3.43</w:t>
            </w:r>
          </w:p>
        </w:tc>
        <w:tc>
          <w:tcPr>
            <w:tcW w:w="964" w:type="dxa"/>
            <w:vAlign w:val="center"/>
          </w:tcPr>
          <w:p>
            <w:pPr>
              <w:pStyle w:val="14"/>
              <w:spacing w:line="240" w:lineRule="exact"/>
              <w:ind w:firstLine="0" w:firstLineChars="0"/>
              <w:jc w:val="center"/>
              <w:rPr>
                <w:rFonts w:hint="eastAsia" w:ascii="Times New Roman" w:hAnsi="Times New Roman" w:cs="Times New Roman" w:eastAsiaTheme="minorEastAsia"/>
                <w:color w:val="auto"/>
                <w:sz w:val="18"/>
                <w:szCs w:val="18"/>
                <w:highlight w:val="none"/>
                <w:lang w:eastAsia="zh-CN"/>
              </w:rPr>
            </w:pPr>
            <w:r>
              <w:rPr>
                <w:rFonts w:hint="eastAsia" w:cs="Times New Roman" w:eastAsiaTheme="minorEastAsia"/>
                <w:color w:val="auto"/>
                <w:sz w:val="18"/>
                <w:szCs w:val="18"/>
                <w:highlight w:val="none"/>
                <w:lang w:val="en-US" w:eastAsia="zh-CN"/>
              </w:rPr>
              <w:t>窄叶鲜卑花灌丛</w:t>
            </w:r>
          </w:p>
        </w:tc>
        <w:tc>
          <w:tcPr>
            <w:tcW w:w="2847" w:type="dxa"/>
            <w:vAlign w:val="center"/>
          </w:tcPr>
          <w:p>
            <w:pPr>
              <w:pStyle w:val="14"/>
              <w:spacing w:line="240" w:lineRule="exact"/>
              <w:ind w:firstLine="0" w:firstLineChars="0"/>
              <w:jc w:val="left"/>
              <w:rPr>
                <w:rFonts w:hint="default" w:ascii="Times New Roman" w:hAnsi="Times New Roman" w:cs="Times New Roman" w:eastAsiaTheme="minorEastAsia"/>
                <w:sz w:val="18"/>
                <w:szCs w:val="18"/>
                <w:highlight w:val="none"/>
                <w:lang w:val="en-US" w:eastAsia="zh-CN"/>
              </w:rPr>
            </w:pPr>
            <w:r>
              <w:rPr>
                <w:rFonts w:hint="eastAsia" w:cs="Times New Roman" w:eastAsiaTheme="minorEastAsia"/>
                <w:sz w:val="18"/>
                <w:szCs w:val="18"/>
                <w:highlight w:val="none"/>
                <w:lang w:val="en-US" w:eastAsia="zh-CN"/>
              </w:rPr>
              <w:t>窄叶鲜卑花、高山柳、嵩草、早熟禾、垂穗鹅冠草、珠芽蓼、委陵菜、龙胆、星状风毛菊、毛茛、马先蒿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851" w:type="dxa"/>
            <w:vMerge w:val="continue"/>
            <w:vAlign w:val="center"/>
          </w:tcPr>
          <w:p>
            <w:pPr>
              <w:pStyle w:val="14"/>
              <w:spacing w:line="240" w:lineRule="exact"/>
              <w:ind w:firstLine="0" w:firstLineChars="0"/>
              <w:jc w:val="center"/>
              <w:rPr>
                <w:rFonts w:ascii="Times New Roman" w:hAnsi="Times New Roman" w:cs="Times New Roman" w:eastAsiaTheme="minorEastAsia"/>
                <w:sz w:val="18"/>
                <w:szCs w:val="18"/>
                <w:highlight w:val="none"/>
              </w:rPr>
            </w:pPr>
          </w:p>
        </w:tc>
        <w:tc>
          <w:tcPr>
            <w:tcW w:w="949" w:type="dxa"/>
            <w:vAlign w:val="center"/>
          </w:tcPr>
          <w:p>
            <w:pPr>
              <w:pStyle w:val="14"/>
              <w:spacing w:line="240" w:lineRule="exact"/>
              <w:ind w:firstLine="0" w:firstLineChars="0"/>
              <w:jc w:val="center"/>
              <w:rPr>
                <w:rFonts w:ascii="Times New Roman" w:hAnsi="Times New Roman" w:cs="Times New Roman" w:eastAsiaTheme="minorEastAsia"/>
                <w:sz w:val="18"/>
                <w:szCs w:val="18"/>
                <w:highlight w:val="none"/>
              </w:rPr>
            </w:pPr>
            <w:r>
              <w:rPr>
                <w:rFonts w:ascii="Times New Roman" w:hAnsi="Times New Roman" w:cs="Times New Roman" w:eastAsiaTheme="minorEastAsia"/>
                <w:sz w:val="18"/>
                <w:szCs w:val="18"/>
                <w:highlight w:val="none"/>
              </w:rPr>
              <w:t>路基</w:t>
            </w:r>
          </w:p>
        </w:tc>
        <w:tc>
          <w:tcPr>
            <w:tcW w:w="1669" w:type="dxa"/>
            <w:vAlign w:val="center"/>
          </w:tcPr>
          <w:p>
            <w:pPr>
              <w:ind w:firstLine="0" w:firstLineChars="0"/>
              <w:jc w:val="center"/>
              <w:rPr>
                <w:rFonts w:ascii="Times New Roman" w:hAnsi="Times New Roman" w:cs="Times New Roman" w:eastAsiaTheme="minorEastAsia"/>
                <w:sz w:val="18"/>
                <w:szCs w:val="18"/>
                <w:highlight w:val="none"/>
              </w:rPr>
            </w:pPr>
            <w:r>
              <w:rPr>
                <w:rFonts w:hint="eastAsia" w:ascii="Times New Roman" w:hAnsi="Times New Roman" w:cs="Times New Roman" w:eastAsiaTheme="minorEastAsia"/>
                <w:sz w:val="18"/>
                <w:szCs w:val="18"/>
                <w:highlight w:val="none"/>
              </w:rPr>
              <w:t>K</w:t>
            </w:r>
            <w:r>
              <w:rPr>
                <w:rFonts w:hint="eastAsia" w:cs="Times New Roman" w:eastAsiaTheme="minorEastAsia"/>
                <w:sz w:val="18"/>
                <w:szCs w:val="18"/>
                <w:highlight w:val="none"/>
                <w:lang w:val="en-US" w:eastAsia="zh-CN"/>
              </w:rPr>
              <w:t>1</w:t>
            </w:r>
            <w:r>
              <w:rPr>
                <w:rFonts w:hint="eastAsia" w:ascii="Times New Roman" w:hAnsi="Times New Roman" w:cs="Times New Roman" w:eastAsiaTheme="minorEastAsia"/>
                <w:sz w:val="18"/>
                <w:szCs w:val="18"/>
                <w:highlight w:val="none"/>
              </w:rPr>
              <w:t>+</w:t>
            </w:r>
            <w:r>
              <w:rPr>
                <w:rFonts w:hint="eastAsia" w:cs="Times New Roman" w:eastAsiaTheme="minorEastAsia"/>
                <w:sz w:val="18"/>
                <w:szCs w:val="18"/>
                <w:highlight w:val="none"/>
                <w:lang w:val="en-US" w:eastAsia="zh-CN"/>
              </w:rPr>
              <w:t>54</w:t>
            </w:r>
            <w:r>
              <w:rPr>
                <w:rFonts w:hint="eastAsia" w:ascii="Times New Roman" w:hAnsi="Times New Roman" w:cs="Times New Roman" w:eastAsiaTheme="minorEastAsia"/>
                <w:sz w:val="18"/>
                <w:szCs w:val="18"/>
                <w:highlight w:val="none"/>
              </w:rPr>
              <w:t>0-K</w:t>
            </w:r>
            <w:r>
              <w:rPr>
                <w:rFonts w:hint="eastAsia" w:cs="Times New Roman" w:eastAsiaTheme="minorEastAsia"/>
                <w:sz w:val="18"/>
                <w:szCs w:val="18"/>
                <w:highlight w:val="none"/>
                <w:lang w:val="en-US" w:eastAsia="zh-CN"/>
              </w:rPr>
              <w:t>5</w:t>
            </w:r>
            <w:r>
              <w:rPr>
                <w:rFonts w:hint="eastAsia" w:ascii="Times New Roman" w:hAnsi="Times New Roman" w:cs="Times New Roman" w:eastAsiaTheme="minorEastAsia"/>
                <w:sz w:val="18"/>
                <w:szCs w:val="18"/>
                <w:highlight w:val="none"/>
              </w:rPr>
              <w:t>+</w:t>
            </w:r>
            <w:r>
              <w:rPr>
                <w:rFonts w:hint="eastAsia" w:cs="Times New Roman" w:eastAsiaTheme="minorEastAsia"/>
                <w:sz w:val="18"/>
                <w:szCs w:val="18"/>
                <w:highlight w:val="none"/>
                <w:lang w:val="en-US" w:eastAsia="zh-CN"/>
              </w:rPr>
              <w:t>24</w:t>
            </w:r>
            <w:r>
              <w:rPr>
                <w:rFonts w:hint="eastAsia" w:ascii="Times New Roman" w:hAnsi="Times New Roman" w:cs="Times New Roman" w:eastAsiaTheme="minorEastAsia"/>
                <w:sz w:val="18"/>
                <w:szCs w:val="18"/>
                <w:highlight w:val="none"/>
              </w:rPr>
              <w:t>0</w:t>
            </w:r>
          </w:p>
        </w:tc>
        <w:tc>
          <w:tcPr>
            <w:tcW w:w="960" w:type="dxa"/>
            <w:vAlign w:val="center"/>
          </w:tcPr>
          <w:p>
            <w:pPr>
              <w:pStyle w:val="14"/>
              <w:spacing w:line="240" w:lineRule="exact"/>
              <w:ind w:firstLine="0" w:firstLineChars="0"/>
              <w:jc w:val="center"/>
              <w:rPr>
                <w:rFonts w:hint="default" w:ascii="Times New Roman" w:hAnsi="Times New Roman" w:cs="Times New Roman" w:eastAsiaTheme="minorEastAsia"/>
                <w:sz w:val="18"/>
                <w:szCs w:val="18"/>
                <w:highlight w:val="none"/>
                <w:lang w:val="en-US" w:eastAsia="zh-CN"/>
              </w:rPr>
            </w:pPr>
            <w:r>
              <w:rPr>
                <w:rFonts w:hint="eastAsia" w:cs="Times New Roman" w:eastAsiaTheme="minorEastAsia"/>
                <w:sz w:val="18"/>
                <w:szCs w:val="18"/>
                <w:highlight w:val="none"/>
                <w:lang w:val="en-US" w:eastAsia="zh-CN"/>
              </w:rPr>
              <w:t>2.78</w:t>
            </w:r>
          </w:p>
        </w:tc>
        <w:tc>
          <w:tcPr>
            <w:tcW w:w="964" w:type="dxa"/>
            <w:vAlign w:val="center"/>
          </w:tcPr>
          <w:p>
            <w:pPr>
              <w:pStyle w:val="14"/>
              <w:spacing w:line="240" w:lineRule="exact"/>
              <w:ind w:firstLine="0" w:firstLineChars="0"/>
              <w:jc w:val="center"/>
              <w:rPr>
                <w:rFonts w:hint="eastAsia" w:ascii="Times New Roman" w:hAnsi="Times New Roman" w:cs="Times New Roman" w:eastAsiaTheme="minorEastAsia"/>
                <w:color w:val="auto"/>
                <w:sz w:val="18"/>
                <w:szCs w:val="18"/>
                <w:highlight w:val="none"/>
                <w:lang w:eastAsia="zh-CN"/>
              </w:rPr>
            </w:pPr>
            <w:r>
              <w:rPr>
                <w:rFonts w:hint="eastAsia" w:cs="Times New Roman" w:eastAsiaTheme="minorEastAsia"/>
                <w:color w:val="auto"/>
                <w:sz w:val="18"/>
                <w:szCs w:val="18"/>
                <w:highlight w:val="none"/>
                <w:lang w:val="en-US" w:eastAsia="zh-CN"/>
              </w:rPr>
              <w:t>窄叶鲜卑花灌丛</w:t>
            </w:r>
          </w:p>
        </w:tc>
        <w:tc>
          <w:tcPr>
            <w:tcW w:w="2847" w:type="dxa"/>
            <w:vAlign w:val="center"/>
          </w:tcPr>
          <w:p>
            <w:pPr>
              <w:pStyle w:val="14"/>
              <w:spacing w:line="240" w:lineRule="exact"/>
              <w:ind w:firstLine="0" w:firstLineChars="0"/>
              <w:jc w:val="left"/>
              <w:rPr>
                <w:rFonts w:hint="default" w:ascii="Times New Roman" w:hAnsi="Times New Roman" w:cs="Times New Roman" w:eastAsiaTheme="minorEastAsia"/>
                <w:sz w:val="18"/>
                <w:szCs w:val="18"/>
                <w:highlight w:val="none"/>
                <w:lang w:val="en-US" w:eastAsia="zh-CN"/>
              </w:rPr>
            </w:pPr>
            <w:r>
              <w:rPr>
                <w:rFonts w:hint="eastAsia" w:cs="Times New Roman" w:eastAsiaTheme="minorEastAsia"/>
                <w:sz w:val="18"/>
                <w:szCs w:val="18"/>
                <w:highlight w:val="none"/>
                <w:lang w:val="en-US" w:eastAsia="zh-CN"/>
              </w:rPr>
              <w:t>窄叶鲜卑花、高山柳、嵩草、椭圆叶花锚、马先蒿、龙胆、珠芽蓼、星状风毛菊、甘西鼠草、委陵菜、老鹳草、垂穗鹅冠草、早熟禾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tblHeader/>
          <w:jc w:val="center"/>
        </w:trPr>
        <w:tc>
          <w:tcPr>
            <w:tcW w:w="851" w:type="dxa"/>
            <w:vMerge w:val="continue"/>
            <w:vAlign w:val="center"/>
          </w:tcPr>
          <w:p>
            <w:pPr>
              <w:pStyle w:val="14"/>
              <w:spacing w:line="240" w:lineRule="exact"/>
              <w:ind w:firstLine="0" w:firstLineChars="0"/>
              <w:jc w:val="center"/>
              <w:rPr>
                <w:rFonts w:hint="eastAsia" w:ascii="Times New Roman" w:hAnsi="Times New Roman" w:cs="Times New Roman" w:eastAsiaTheme="minorEastAsia"/>
                <w:sz w:val="18"/>
                <w:szCs w:val="18"/>
                <w:highlight w:val="none"/>
              </w:rPr>
            </w:pPr>
          </w:p>
        </w:tc>
        <w:tc>
          <w:tcPr>
            <w:tcW w:w="949" w:type="dxa"/>
            <w:vAlign w:val="center"/>
          </w:tcPr>
          <w:p>
            <w:pPr>
              <w:pStyle w:val="14"/>
              <w:spacing w:line="240" w:lineRule="exact"/>
              <w:ind w:firstLine="0" w:firstLineChars="0"/>
              <w:jc w:val="center"/>
              <w:rPr>
                <w:rFonts w:ascii="Times New Roman" w:hAnsi="Times New Roman" w:cs="Times New Roman" w:eastAsiaTheme="minorEastAsia"/>
                <w:sz w:val="18"/>
                <w:szCs w:val="18"/>
                <w:highlight w:val="none"/>
              </w:rPr>
            </w:pPr>
            <w:r>
              <w:rPr>
                <w:rFonts w:ascii="Times New Roman" w:hAnsi="Times New Roman" w:cs="Times New Roman" w:eastAsiaTheme="minorEastAsia"/>
                <w:sz w:val="18"/>
                <w:szCs w:val="18"/>
                <w:highlight w:val="none"/>
              </w:rPr>
              <w:t>路基</w:t>
            </w:r>
          </w:p>
        </w:tc>
        <w:tc>
          <w:tcPr>
            <w:tcW w:w="1669" w:type="dxa"/>
            <w:vAlign w:val="center"/>
          </w:tcPr>
          <w:p>
            <w:pPr>
              <w:pStyle w:val="14"/>
              <w:spacing w:line="240" w:lineRule="exact"/>
              <w:ind w:firstLine="0" w:firstLineChars="0"/>
              <w:jc w:val="center"/>
              <w:rPr>
                <w:rFonts w:hint="default" w:ascii="Times New Roman" w:hAnsi="Times New Roman" w:cs="Times New Roman" w:eastAsiaTheme="minorEastAsia"/>
                <w:sz w:val="18"/>
                <w:szCs w:val="18"/>
                <w:highlight w:val="none"/>
                <w:lang w:val="en-US" w:eastAsia="zh-CN"/>
              </w:rPr>
            </w:pPr>
            <w:r>
              <w:rPr>
                <w:rFonts w:hint="eastAsia" w:ascii="Times New Roman" w:hAnsi="Times New Roman" w:cs="Times New Roman" w:eastAsiaTheme="minorEastAsia"/>
                <w:sz w:val="18"/>
                <w:szCs w:val="18"/>
                <w:highlight w:val="none"/>
              </w:rPr>
              <w:t>K</w:t>
            </w:r>
            <w:r>
              <w:rPr>
                <w:rFonts w:hint="eastAsia" w:cs="Times New Roman" w:eastAsiaTheme="minorEastAsia"/>
                <w:sz w:val="18"/>
                <w:szCs w:val="18"/>
                <w:highlight w:val="none"/>
                <w:lang w:val="en-US" w:eastAsia="zh-CN"/>
              </w:rPr>
              <w:t>1</w:t>
            </w:r>
            <w:r>
              <w:rPr>
                <w:rFonts w:hint="eastAsia" w:ascii="Times New Roman" w:hAnsi="Times New Roman" w:cs="Times New Roman" w:eastAsiaTheme="minorEastAsia"/>
                <w:sz w:val="18"/>
                <w:szCs w:val="18"/>
                <w:highlight w:val="none"/>
              </w:rPr>
              <w:t>+</w:t>
            </w:r>
            <w:r>
              <w:rPr>
                <w:rFonts w:hint="eastAsia" w:cs="Times New Roman" w:eastAsiaTheme="minorEastAsia"/>
                <w:sz w:val="18"/>
                <w:szCs w:val="18"/>
                <w:highlight w:val="none"/>
                <w:lang w:val="en-US" w:eastAsia="zh-CN"/>
              </w:rPr>
              <w:t>375</w:t>
            </w:r>
            <w:r>
              <w:rPr>
                <w:rFonts w:hint="eastAsia" w:ascii="Times New Roman" w:hAnsi="Times New Roman" w:cs="Times New Roman" w:eastAsiaTheme="minorEastAsia"/>
                <w:sz w:val="18"/>
                <w:szCs w:val="18"/>
                <w:highlight w:val="none"/>
              </w:rPr>
              <w:t>-K</w:t>
            </w:r>
            <w:r>
              <w:rPr>
                <w:rFonts w:hint="eastAsia" w:cs="Times New Roman" w:eastAsiaTheme="minorEastAsia"/>
                <w:sz w:val="18"/>
                <w:szCs w:val="18"/>
                <w:highlight w:val="none"/>
                <w:lang w:val="en-US" w:eastAsia="zh-CN"/>
              </w:rPr>
              <w:t>1</w:t>
            </w:r>
            <w:r>
              <w:rPr>
                <w:rFonts w:hint="eastAsia" w:ascii="Times New Roman" w:hAnsi="Times New Roman" w:cs="Times New Roman" w:eastAsiaTheme="minorEastAsia"/>
                <w:sz w:val="18"/>
                <w:szCs w:val="18"/>
                <w:highlight w:val="none"/>
              </w:rPr>
              <w:t>+</w:t>
            </w:r>
            <w:r>
              <w:rPr>
                <w:rFonts w:hint="eastAsia" w:cs="Times New Roman" w:eastAsiaTheme="minorEastAsia"/>
                <w:sz w:val="18"/>
                <w:szCs w:val="18"/>
                <w:highlight w:val="none"/>
                <w:lang w:val="en-US" w:eastAsia="zh-CN"/>
              </w:rPr>
              <w:t>540</w:t>
            </w:r>
          </w:p>
        </w:tc>
        <w:tc>
          <w:tcPr>
            <w:tcW w:w="960" w:type="dxa"/>
            <w:vAlign w:val="center"/>
          </w:tcPr>
          <w:p>
            <w:pPr>
              <w:pStyle w:val="14"/>
              <w:spacing w:line="240" w:lineRule="exact"/>
              <w:ind w:firstLine="0" w:firstLineChars="0"/>
              <w:jc w:val="center"/>
              <w:rPr>
                <w:rFonts w:hint="default" w:ascii="Times New Roman" w:hAnsi="Times New Roman" w:cs="Times New Roman" w:eastAsiaTheme="minorEastAsia"/>
                <w:sz w:val="18"/>
                <w:szCs w:val="18"/>
                <w:highlight w:val="none"/>
                <w:lang w:val="en-US" w:eastAsia="zh-CN"/>
              </w:rPr>
            </w:pPr>
            <w:r>
              <w:rPr>
                <w:rFonts w:hint="eastAsia" w:ascii="Times New Roman" w:hAnsi="Times New Roman" w:cs="Times New Roman" w:eastAsiaTheme="minorEastAsia"/>
                <w:sz w:val="18"/>
                <w:szCs w:val="18"/>
                <w:highlight w:val="none"/>
              </w:rPr>
              <w:t>0.</w:t>
            </w:r>
            <w:r>
              <w:rPr>
                <w:rFonts w:hint="eastAsia" w:cs="Times New Roman" w:eastAsiaTheme="minorEastAsia"/>
                <w:sz w:val="18"/>
                <w:szCs w:val="18"/>
                <w:highlight w:val="none"/>
                <w:lang w:val="en-US" w:eastAsia="zh-CN"/>
              </w:rPr>
              <w:t>12</w:t>
            </w:r>
          </w:p>
        </w:tc>
        <w:tc>
          <w:tcPr>
            <w:tcW w:w="964" w:type="dxa"/>
            <w:vAlign w:val="center"/>
          </w:tcPr>
          <w:p>
            <w:pPr>
              <w:pStyle w:val="14"/>
              <w:spacing w:line="240" w:lineRule="exact"/>
              <w:ind w:firstLine="0" w:firstLineChars="0"/>
              <w:jc w:val="center"/>
              <w:rPr>
                <w:rFonts w:hint="eastAsia" w:ascii="Times New Roman" w:hAnsi="Times New Roman" w:cs="Times New Roman" w:eastAsiaTheme="minorEastAsia"/>
                <w:color w:val="auto"/>
                <w:sz w:val="18"/>
                <w:szCs w:val="18"/>
                <w:highlight w:val="none"/>
                <w:lang w:eastAsia="zh-CN"/>
              </w:rPr>
            </w:pPr>
            <w:r>
              <w:rPr>
                <w:rFonts w:hint="eastAsia" w:cs="Times New Roman" w:eastAsiaTheme="minorEastAsia"/>
                <w:color w:val="auto"/>
                <w:sz w:val="18"/>
                <w:szCs w:val="18"/>
                <w:highlight w:val="none"/>
                <w:lang w:val="en-US" w:eastAsia="zh-CN"/>
              </w:rPr>
              <w:t>嵩草草甸</w:t>
            </w:r>
          </w:p>
        </w:tc>
        <w:tc>
          <w:tcPr>
            <w:tcW w:w="2847" w:type="dxa"/>
            <w:vAlign w:val="center"/>
          </w:tcPr>
          <w:p>
            <w:pPr>
              <w:pStyle w:val="14"/>
              <w:spacing w:line="240" w:lineRule="exact"/>
              <w:ind w:firstLine="0" w:firstLineChars="0"/>
              <w:jc w:val="left"/>
              <w:rPr>
                <w:rFonts w:hint="default" w:asciiTheme="minorHAnsi" w:hAnsiTheme="minorHAnsi" w:eastAsiaTheme="minorEastAsia"/>
                <w:sz w:val="18"/>
                <w:szCs w:val="18"/>
                <w:highlight w:val="none"/>
                <w:lang w:val="en-US" w:eastAsia="zh-CN"/>
              </w:rPr>
            </w:pPr>
            <w:r>
              <w:rPr>
                <w:rFonts w:hint="eastAsia" w:asciiTheme="minorHAnsi" w:hAnsiTheme="minorHAnsi" w:eastAsiaTheme="minorEastAsia"/>
                <w:sz w:val="18"/>
                <w:szCs w:val="18"/>
                <w:highlight w:val="none"/>
                <w:lang w:val="en-US" w:eastAsia="zh-CN"/>
              </w:rPr>
              <w:t>嵩草、苔草、早熟禾、毛茛、委陵菜、龙胆、珠芽蓼、垂穗鹅冠草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blHeader/>
          <w:jc w:val="center"/>
        </w:trPr>
        <w:tc>
          <w:tcPr>
            <w:tcW w:w="851" w:type="dxa"/>
            <w:vMerge w:val="continue"/>
            <w:vAlign w:val="center"/>
          </w:tcPr>
          <w:p>
            <w:pPr>
              <w:pStyle w:val="14"/>
              <w:spacing w:line="240" w:lineRule="exact"/>
              <w:ind w:firstLine="0" w:firstLineChars="0"/>
              <w:jc w:val="center"/>
              <w:rPr>
                <w:rFonts w:ascii="Times New Roman" w:hAnsi="Times New Roman" w:cs="Times New Roman" w:eastAsiaTheme="minorEastAsia"/>
                <w:sz w:val="18"/>
                <w:szCs w:val="18"/>
                <w:highlight w:val="none"/>
              </w:rPr>
            </w:pPr>
          </w:p>
        </w:tc>
        <w:tc>
          <w:tcPr>
            <w:tcW w:w="949" w:type="dxa"/>
            <w:vAlign w:val="center"/>
          </w:tcPr>
          <w:p>
            <w:pPr>
              <w:pStyle w:val="14"/>
              <w:spacing w:line="240" w:lineRule="exact"/>
              <w:ind w:firstLine="0" w:firstLineChars="0"/>
              <w:jc w:val="center"/>
              <w:rPr>
                <w:rFonts w:ascii="Times New Roman" w:hAnsi="Times New Roman" w:cs="Times New Roman" w:eastAsiaTheme="minorEastAsia"/>
                <w:sz w:val="18"/>
                <w:szCs w:val="18"/>
                <w:highlight w:val="none"/>
              </w:rPr>
            </w:pPr>
            <w:r>
              <w:rPr>
                <w:rFonts w:ascii="Times New Roman" w:hAnsi="Times New Roman" w:cs="Times New Roman" w:eastAsiaTheme="minorEastAsia"/>
                <w:sz w:val="18"/>
                <w:szCs w:val="18"/>
                <w:highlight w:val="none"/>
              </w:rPr>
              <w:t>路基</w:t>
            </w:r>
          </w:p>
        </w:tc>
        <w:tc>
          <w:tcPr>
            <w:tcW w:w="1669" w:type="dxa"/>
            <w:vAlign w:val="center"/>
          </w:tcPr>
          <w:p>
            <w:pPr>
              <w:pStyle w:val="14"/>
              <w:spacing w:line="240" w:lineRule="exact"/>
              <w:ind w:firstLine="0" w:firstLineChars="0"/>
              <w:jc w:val="center"/>
              <w:rPr>
                <w:rFonts w:hint="default" w:ascii="Times New Roman" w:hAnsi="Times New Roman" w:cs="Times New Roman" w:eastAsiaTheme="minorEastAsia"/>
                <w:color w:val="auto"/>
                <w:sz w:val="18"/>
                <w:szCs w:val="18"/>
                <w:highlight w:val="none"/>
                <w:lang w:val="en-US" w:eastAsia="zh-CN"/>
              </w:rPr>
            </w:pPr>
            <w:r>
              <w:rPr>
                <w:rFonts w:hint="eastAsia" w:ascii="Times New Roman" w:hAnsi="Times New Roman" w:cs="Times New Roman" w:eastAsiaTheme="minorEastAsia"/>
                <w:color w:val="auto"/>
                <w:sz w:val="18"/>
                <w:szCs w:val="18"/>
                <w:highlight w:val="none"/>
              </w:rPr>
              <w:t>K</w:t>
            </w:r>
            <w:r>
              <w:rPr>
                <w:rFonts w:hint="eastAsia" w:cs="Times New Roman" w:eastAsiaTheme="minorEastAsia"/>
                <w:color w:val="auto"/>
                <w:sz w:val="18"/>
                <w:szCs w:val="18"/>
                <w:highlight w:val="none"/>
                <w:lang w:val="en-US" w:eastAsia="zh-CN"/>
              </w:rPr>
              <w:t>0</w:t>
            </w:r>
            <w:r>
              <w:rPr>
                <w:rFonts w:ascii="Times New Roman" w:hAnsi="Times New Roman" w:cs="Times New Roman" w:eastAsiaTheme="minorEastAsia"/>
                <w:color w:val="auto"/>
                <w:sz w:val="18"/>
                <w:szCs w:val="18"/>
                <w:highlight w:val="none"/>
              </w:rPr>
              <w:t>+</w:t>
            </w:r>
            <w:r>
              <w:rPr>
                <w:rFonts w:hint="eastAsia" w:cs="Times New Roman" w:eastAsiaTheme="minorEastAsia"/>
                <w:color w:val="auto"/>
                <w:sz w:val="18"/>
                <w:szCs w:val="18"/>
                <w:highlight w:val="none"/>
                <w:lang w:val="en-US" w:eastAsia="zh-CN"/>
              </w:rPr>
              <w:t>000</w:t>
            </w:r>
            <w:r>
              <w:rPr>
                <w:rFonts w:ascii="Times New Roman" w:hAnsi="Times New Roman" w:cs="Times New Roman" w:eastAsiaTheme="minorEastAsia"/>
                <w:color w:val="auto"/>
                <w:sz w:val="18"/>
                <w:szCs w:val="18"/>
                <w:highlight w:val="none"/>
              </w:rPr>
              <w:t>-K</w:t>
            </w:r>
            <w:r>
              <w:rPr>
                <w:rFonts w:hint="eastAsia" w:cs="Times New Roman" w:eastAsiaTheme="minorEastAsia"/>
                <w:color w:val="auto"/>
                <w:sz w:val="18"/>
                <w:szCs w:val="18"/>
                <w:highlight w:val="none"/>
                <w:lang w:val="en-US" w:eastAsia="zh-CN"/>
              </w:rPr>
              <w:t>1+375</w:t>
            </w:r>
          </w:p>
        </w:tc>
        <w:tc>
          <w:tcPr>
            <w:tcW w:w="960" w:type="dxa"/>
            <w:vAlign w:val="center"/>
          </w:tcPr>
          <w:p>
            <w:pPr>
              <w:pStyle w:val="14"/>
              <w:spacing w:line="240" w:lineRule="exact"/>
              <w:ind w:firstLine="0" w:firstLineChars="0"/>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1.03</w:t>
            </w:r>
          </w:p>
        </w:tc>
        <w:tc>
          <w:tcPr>
            <w:tcW w:w="964" w:type="dxa"/>
            <w:vAlign w:val="center"/>
          </w:tcPr>
          <w:p>
            <w:pPr>
              <w:pStyle w:val="14"/>
              <w:spacing w:line="240" w:lineRule="exact"/>
              <w:ind w:firstLine="0" w:firstLineChars="0"/>
              <w:jc w:val="center"/>
              <w:rPr>
                <w:rFonts w:hint="eastAsia" w:ascii="Times New Roman" w:hAnsi="Times New Roman" w:cs="Times New Roman" w:eastAsiaTheme="minorEastAsia"/>
                <w:color w:val="auto"/>
                <w:sz w:val="18"/>
                <w:szCs w:val="18"/>
                <w:highlight w:val="yellow"/>
                <w:lang w:eastAsia="zh-CN"/>
              </w:rPr>
            </w:pPr>
            <w:r>
              <w:rPr>
                <w:rFonts w:hint="eastAsia" w:asciiTheme="minorHAnsi" w:hAnsiTheme="minorHAnsi" w:eastAsiaTheme="minorEastAsia"/>
                <w:color w:val="auto"/>
                <w:sz w:val="18"/>
                <w:szCs w:val="18"/>
                <w:highlight w:val="none"/>
                <w:lang w:val="en-US" w:eastAsia="zh-CN"/>
              </w:rPr>
              <w:t>柳</w:t>
            </w:r>
            <w:r>
              <w:rPr>
                <w:rFonts w:asciiTheme="minorHAnsi" w:hAnsiTheme="minorHAnsi" w:eastAsiaTheme="minorEastAsia"/>
                <w:color w:val="auto"/>
                <w:sz w:val="18"/>
                <w:szCs w:val="18"/>
                <w:highlight w:val="none"/>
              </w:rPr>
              <w:t>灌丛</w:t>
            </w:r>
          </w:p>
        </w:tc>
        <w:tc>
          <w:tcPr>
            <w:tcW w:w="2847" w:type="dxa"/>
            <w:vAlign w:val="center"/>
          </w:tcPr>
          <w:p>
            <w:pPr>
              <w:pStyle w:val="14"/>
              <w:spacing w:line="240" w:lineRule="exact"/>
              <w:ind w:firstLine="0" w:firstLineChars="0"/>
              <w:jc w:val="left"/>
              <w:rPr>
                <w:rFonts w:ascii="Times New Roman" w:hAnsi="Times New Roman" w:cs="Times New Roman" w:eastAsiaTheme="minorEastAsia"/>
                <w:sz w:val="18"/>
                <w:szCs w:val="18"/>
                <w:highlight w:val="none"/>
              </w:rPr>
            </w:pPr>
            <w:r>
              <w:rPr>
                <w:rFonts w:hint="eastAsia" w:cs="Times New Roman" w:eastAsiaTheme="minorEastAsia"/>
                <w:sz w:val="18"/>
                <w:szCs w:val="18"/>
                <w:highlight w:val="none"/>
                <w:lang w:val="en-US" w:eastAsia="zh-CN"/>
              </w:rPr>
              <w:t>高山柳、金露梅、早熟禾、发草、苔草、嵩草、垂头菊、花葶驴蹄草、长生毛茛、圆穗蓼、珠芽蓼、橐吾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851" w:type="dxa"/>
            <w:vAlign w:val="center"/>
          </w:tcPr>
          <w:p>
            <w:pPr>
              <w:pStyle w:val="14"/>
              <w:spacing w:line="240" w:lineRule="exact"/>
              <w:ind w:firstLine="0" w:firstLineChars="0"/>
              <w:jc w:val="center"/>
              <w:rPr>
                <w:rFonts w:ascii="Times New Roman" w:hAnsi="Times New Roman" w:cs="Times New Roman" w:eastAsiaTheme="minorEastAsia"/>
                <w:sz w:val="18"/>
                <w:szCs w:val="18"/>
                <w:highlight w:val="none"/>
              </w:rPr>
            </w:pPr>
            <w:r>
              <w:rPr>
                <w:rFonts w:hint="eastAsia" w:cs="Times New Roman" w:eastAsiaTheme="minorEastAsia"/>
                <w:sz w:val="18"/>
                <w:szCs w:val="18"/>
                <w:highlight w:val="none"/>
                <w:lang w:val="en-US" w:eastAsia="zh-CN"/>
              </w:rPr>
              <w:t>阿莲路段</w:t>
            </w:r>
          </w:p>
        </w:tc>
        <w:tc>
          <w:tcPr>
            <w:tcW w:w="949" w:type="dxa"/>
            <w:vAlign w:val="center"/>
          </w:tcPr>
          <w:p>
            <w:pPr>
              <w:pStyle w:val="14"/>
              <w:spacing w:line="240" w:lineRule="exact"/>
              <w:ind w:firstLine="0" w:firstLineChars="0"/>
              <w:jc w:val="center"/>
              <w:rPr>
                <w:rFonts w:ascii="Times New Roman" w:hAnsi="Times New Roman" w:cs="Times New Roman" w:eastAsiaTheme="minorEastAsia"/>
                <w:sz w:val="18"/>
                <w:szCs w:val="18"/>
                <w:highlight w:val="none"/>
              </w:rPr>
            </w:pPr>
            <w:r>
              <w:rPr>
                <w:rFonts w:ascii="Times New Roman" w:hAnsi="Times New Roman" w:cs="Times New Roman" w:eastAsiaTheme="minorEastAsia"/>
                <w:sz w:val="18"/>
                <w:szCs w:val="18"/>
                <w:highlight w:val="none"/>
              </w:rPr>
              <w:t>路基</w:t>
            </w:r>
          </w:p>
        </w:tc>
        <w:tc>
          <w:tcPr>
            <w:tcW w:w="1669" w:type="dxa"/>
            <w:vAlign w:val="center"/>
          </w:tcPr>
          <w:p>
            <w:pPr>
              <w:pStyle w:val="14"/>
              <w:spacing w:line="240" w:lineRule="exact"/>
              <w:ind w:firstLine="0" w:firstLineChars="0"/>
              <w:jc w:val="center"/>
              <w:rPr>
                <w:rFonts w:ascii="Times New Roman" w:hAnsi="Times New Roman" w:cs="Times New Roman" w:eastAsiaTheme="minorEastAsia"/>
                <w:sz w:val="18"/>
                <w:szCs w:val="18"/>
                <w:highlight w:val="none"/>
              </w:rPr>
            </w:pPr>
            <w:r>
              <w:rPr>
                <w:rFonts w:hint="eastAsia" w:ascii="Times New Roman" w:hAnsi="Times New Roman" w:cs="Times New Roman" w:eastAsiaTheme="minorEastAsia"/>
                <w:sz w:val="18"/>
                <w:szCs w:val="18"/>
                <w:highlight w:val="none"/>
                <w:lang w:val="en-US" w:eastAsia="zh-CN"/>
              </w:rPr>
              <w:t>K32+773</w:t>
            </w:r>
            <w:r>
              <w:rPr>
                <w:rFonts w:hint="eastAsia" w:ascii="Times New Roman" w:hAnsi="Times New Roman" w:cs="Times New Roman" w:eastAsiaTheme="minorEastAsia"/>
                <w:sz w:val="18"/>
                <w:szCs w:val="18"/>
                <w:highlight w:val="none"/>
              </w:rPr>
              <w:t>-</w:t>
            </w:r>
            <w:r>
              <w:rPr>
                <w:rFonts w:hint="eastAsia" w:ascii="Times New Roman" w:hAnsi="Times New Roman" w:cs="Times New Roman" w:eastAsiaTheme="minorEastAsia"/>
                <w:sz w:val="18"/>
                <w:szCs w:val="18"/>
                <w:highlight w:val="none"/>
                <w:lang w:val="en-US" w:eastAsia="zh-CN"/>
              </w:rPr>
              <w:t>K33+599</w:t>
            </w:r>
          </w:p>
        </w:tc>
        <w:tc>
          <w:tcPr>
            <w:tcW w:w="960" w:type="dxa"/>
            <w:vAlign w:val="center"/>
          </w:tcPr>
          <w:p>
            <w:pPr>
              <w:pStyle w:val="14"/>
              <w:spacing w:line="240" w:lineRule="exact"/>
              <w:ind w:firstLine="0" w:firstLineChars="0"/>
              <w:jc w:val="center"/>
              <w:rPr>
                <w:rFonts w:hint="default" w:ascii="Times New Roman" w:hAnsi="Times New Roman" w:cs="Times New Roman" w:eastAsiaTheme="minorEastAsia"/>
                <w:sz w:val="18"/>
                <w:szCs w:val="18"/>
                <w:highlight w:val="yellow"/>
                <w:lang w:val="en-US" w:eastAsia="zh-CN"/>
              </w:rPr>
            </w:pPr>
            <w:r>
              <w:rPr>
                <w:rFonts w:hint="eastAsia" w:cs="Times New Roman" w:eastAsiaTheme="minorEastAsia"/>
                <w:sz w:val="18"/>
                <w:szCs w:val="18"/>
                <w:highlight w:val="none"/>
                <w:lang w:val="en-US" w:eastAsia="zh-CN"/>
              </w:rPr>
              <w:t>0.54</w:t>
            </w:r>
          </w:p>
        </w:tc>
        <w:tc>
          <w:tcPr>
            <w:tcW w:w="964" w:type="dxa"/>
            <w:vAlign w:val="center"/>
          </w:tcPr>
          <w:p>
            <w:pPr>
              <w:pStyle w:val="14"/>
              <w:spacing w:line="240" w:lineRule="exact"/>
              <w:ind w:firstLine="0" w:firstLineChars="0"/>
              <w:jc w:val="center"/>
              <w:rPr>
                <w:rFonts w:ascii="Times New Roman" w:hAnsi="Times New Roman" w:cs="Times New Roman" w:eastAsiaTheme="minorEastAsia"/>
                <w:color w:val="auto"/>
                <w:sz w:val="18"/>
                <w:szCs w:val="18"/>
                <w:highlight w:val="yellow"/>
              </w:rPr>
            </w:pPr>
            <w:r>
              <w:rPr>
                <w:rFonts w:hint="eastAsia" w:cs="Times New Roman" w:eastAsiaTheme="minorEastAsia"/>
                <w:color w:val="auto"/>
                <w:sz w:val="18"/>
                <w:szCs w:val="18"/>
                <w:highlight w:val="none"/>
                <w:lang w:val="en-US" w:eastAsia="zh-CN"/>
              </w:rPr>
              <w:t>嵩草草甸</w:t>
            </w:r>
          </w:p>
        </w:tc>
        <w:tc>
          <w:tcPr>
            <w:tcW w:w="2847" w:type="dxa"/>
            <w:vAlign w:val="center"/>
          </w:tcPr>
          <w:p>
            <w:pPr>
              <w:pStyle w:val="14"/>
              <w:spacing w:line="240" w:lineRule="exact"/>
              <w:ind w:firstLine="0" w:firstLineChars="0"/>
              <w:jc w:val="left"/>
              <w:rPr>
                <w:rFonts w:ascii="Times New Roman" w:hAnsi="Times New Roman" w:cs="Times New Roman" w:eastAsiaTheme="minorEastAsia"/>
                <w:sz w:val="18"/>
                <w:szCs w:val="18"/>
                <w:highlight w:val="none"/>
              </w:rPr>
            </w:pPr>
            <w:r>
              <w:rPr>
                <w:rFonts w:hint="eastAsia" w:asciiTheme="minorHAnsi" w:hAnsiTheme="minorHAnsi" w:eastAsiaTheme="minorEastAsia"/>
                <w:sz w:val="18"/>
                <w:szCs w:val="18"/>
                <w:highlight w:val="none"/>
                <w:lang w:val="en-US" w:eastAsia="zh-CN"/>
              </w:rPr>
              <w:t>嵩草、苔草、早熟禾、毛茛、委陵菜、龙胆、珠芽蓼、垂穗鹅冠草</w:t>
            </w:r>
          </w:p>
        </w:tc>
      </w:tr>
      <w:bookmarkEnd w:id="29"/>
    </w:tbl>
    <w:p>
      <w:pPr>
        <w:pStyle w:val="14"/>
        <w:ind w:firstLine="480" w:firstLineChars="0"/>
        <w:jc w:val="left"/>
        <w:rPr>
          <w:rFonts w:cs="Times New Roman"/>
        </w:rPr>
      </w:pPr>
      <w:r>
        <w:rPr>
          <w:rFonts w:hint="eastAsia" w:cs="Times New Roman"/>
          <w:highlight w:val="none"/>
        </w:rPr>
        <w:t>项目施工侵占湿地公园湿地面积</w:t>
      </w:r>
      <w:r>
        <w:rPr>
          <w:rFonts w:hint="eastAsia" w:cs="Times New Roman"/>
          <w:highlight w:val="none"/>
          <w:lang w:val="en-US" w:eastAsia="zh-CN"/>
        </w:rPr>
        <w:t xml:space="preserve">0.46 </w:t>
      </w:r>
      <w:r>
        <w:rPr>
          <w:rFonts w:hint="eastAsia" w:cs="Times New Roman"/>
          <w:highlight w:val="none"/>
        </w:rPr>
        <w:t>hm</w:t>
      </w:r>
      <w:r>
        <w:rPr>
          <w:rFonts w:hint="eastAsia" w:cs="Times New Roman"/>
          <w:highlight w:val="none"/>
          <w:vertAlign w:val="superscript"/>
        </w:rPr>
        <w:t>2</w:t>
      </w:r>
      <w:r>
        <w:rPr>
          <w:rFonts w:hint="eastAsia" w:cs="Times New Roman"/>
          <w:highlight w:val="none"/>
        </w:rPr>
        <w:t>（为湿地公园边缘区域，实地调查为河岸陆地区</w:t>
      </w:r>
      <w:r>
        <w:rPr>
          <w:rFonts w:hint="eastAsia" w:cs="Times New Roman"/>
          <w:highlight w:val="none"/>
          <w:lang w:val="en-US" w:eastAsia="zh-CN"/>
        </w:rPr>
        <w:t>以及草地</w:t>
      </w:r>
      <w:r>
        <w:rPr>
          <w:rFonts w:hint="eastAsia" w:cs="Times New Roman"/>
          <w:highlight w:val="none"/>
        </w:rPr>
        <w:t>），侵占一般陆地面积</w:t>
      </w:r>
      <w:r>
        <w:rPr>
          <w:rFonts w:hint="eastAsia" w:cs="Times New Roman"/>
          <w:highlight w:val="none"/>
          <w:lang w:val="en-US" w:eastAsia="zh-CN"/>
        </w:rPr>
        <w:t>7.63</w:t>
      </w:r>
      <w:r>
        <w:rPr>
          <w:rFonts w:hint="eastAsia" w:cs="Times New Roman"/>
          <w:highlight w:val="none"/>
        </w:rPr>
        <w:t xml:space="preserve"> hm</w:t>
      </w:r>
      <w:r>
        <w:rPr>
          <w:rFonts w:hint="eastAsia" w:cs="Times New Roman"/>
          <w:highlight w:val="none"/>
          <w:vertAlign w:val="superscript"/>
        </w:rPr>
        <w:t>2</w:t>
      </w:r>
      <w:r>
        <w:rPr>
          <w:rFonts w:hint="eastAsia" w:cs="Times New Roman"/>
          <w:highlight w:val="none"/>
        </w:rPr>
        <w:t>。</w:t>
      </w:r>
      <w:r>
        <w:rPr>
          <w:rFonts w:cs="Times New Roman"/>
        </w:rPr>
        <w:t>影响群落以灌丛</w:t>
      </w:r>
      <w:r>
        <w:rPr>
          <w:rFonts w:hint="eastAsia" w:cs="Times New Roman"/>
        </w:rPr>
        <w:t>、</w:t>
      </w:r>
      <w:r>
        <w:rPr>
          <w:rFonts w:cs="Times New Roman"/>
        </w:rPr>
        <w:t>草甸群落为主</w:t>
      </w:r>
      <w:r>
        <w:rPr>
          <w:rFonts w:hint="eastAsia" w:cs="Times New Roman"/>
        </w:rPr>
        <w:t>。</w:t>
      </w:r>
      <w:r>
        <w:rPr>
          <w:rFonts w:cs="Times New Roman"/>
        </w:rPr>
        <w:t>这些受影响乔灌物种和草本植物均为湿地公园周边常见物种，因此陆生植被和植物物种受侵占影响很小。总体而言，本项目建设不会造成评价区内植被类型和植物多样性减少，对评价区内植物和植被的直接影响为小。</w:t>
      </w:r>
    </w:p>
    <w:p>
      <w:pPr>
        <w:pStyle w:val="6"/>
        <w:numPr>
          <w:ilvl w:val="0"/>
          <w:numId w:val="0"/>
        </w:numPr>
      </w:pPr>
      <w:r>
        <w:t>5.1.2.2运营期</w:t>
      </w:r>
    </w:p>
    <w:p>
      <w:pPr>
        <w:pStyle w:val="107"/>
        <w:ind w:firstLine="480"/>
        <w:rPr>
          <w:rFonts w:ascii="Times New Roman"/>
          <w:sz w:val="24"/>
          <w:szCs w:val="24"/>
        </w:rPr>
      </w:pPr>
      <w:r>
        <w:rPr>
          <w:rFonts w:ascii="Times New Roman"/>
          <w:sz w:val="24"/>
          <w:szCs w:val="24"/>
        </w:rPr>
        <w:t>公路投入使用后，评价区内交通条件得到改善，使沿线的民众出行更为便利，公路车流量将逐年增加。随之而来的粉尘、废气和固体垃圾可能会对公路两侧物种组成和生长产生影响，但这种影响很微弱。若车辆发生事故漏油会污染</w:t>
      </w:r>
      <w:r>
        <w:rPr>
          <w:rFonts w:hint="eastAsia" w:ascii="Times New Roman"/>
          <w:sz w:val="24"/>
          <w:szCs w:val="24"/>
        </w:rPr>
        <w:t>龙尕曲</w:t>
      </w:r>
      <w:r>
        <w:rPr>
          <w:rFonts w:ascii="Times New Roman"/>
          <w:sz w:val="24"/>
          <w:szCs w:val="24"/>
        </w:rPr>
        <w:t>河段及下游区域的土壤环境和水环境，影响植物的生长和分布。</w:t>
      </w:r>
    </w:p>
    <w:p>
      <w:pPr>
        <w:pStyle w:val="6"/>
        <w:numPr>
          <w:ilvl w:val="0"/>
          <w:numId w:val="0"/>
        </w:numPr>
      </w:pPr>
      <w:r>
        <w:t>5.1.2.3对国家重点保护野生植物的影响</w:t>
      </w:r>
    </w:p>
    <w:p>
      <w:pPr>
        <w:ind w:firstLine="480"/>
        <w:rPr>
          <w:rFonts w:hint="eastAsia" w:cs="Times New Roman"/>
        </w:rPr>
      </w:pPr>
      <w:r>
        <w:rPr>
          <w:rFonts w:hint="eastAsia" w:cs="Times New Roman"/>
        </w:rPr>
        <w:t>评价区内分布有国家II级重点保护野生植物红花绿绒蒿和冬虫夏草。然而，实地调查发现，红花绿绒蒿和冬虫夏草的生长地虽然距离工程较近，但工程的建设不会在这些保护植物的分布地有永久或临时占地，不会破坏其生长环境，更不会直接造成其数量的减少，因此，工程对评价区内重点保护野生植物的影响较小，工程建设不会对其造成生境或数量的影响。</w:t>
      </w:r>
    </w:p>
    <w:p>
      <w:pPr>
        <w:ind w:firstLine="480"/>
        <w:rPr>
          <w:rFonts w:cs="Times New Roman"/>
        </w:rPr>
      </w:pPr>
      <w:r>
        <w:rPr>
          <w:rFonts w:hint="eastAsia" w:cs="Times New Roman"/>
        </w:rPr>
        <w:t>综合分析认为，在施工期和运营期，工程对评价区植物物种和群落的影响为“小”。</w:t>
      </w:r>
    </w:p>
    <w:p>
      <w:pPr>
        <w:pStyle w:val="6"/>
        <w:numPr>
          <w:ilvl w:val="0"/>
          <w:numId w:val="0"/>
        </w:numPr>
      </w:pPr>
      <w:r>
        <w:t>5.1.2.4外来物种引入生态风险的预测</w:t>
      </w:r>
    </w:p>
    <w:p>
      <w:pPr>
        <w:ind w:firstLine="480"/>
        <w:rPr>
          <w:rFonts w:cs="Times New Roman"/>
        </w:rPr>
      </w:pPr>
      <w:r>
        <w:rPr>
          <w:rFonts w:cs="Times New Roman"/>
        </w:rPr>
        <w:t>外来物种入侵几率取决于两个方面：第一，工程建设过程中外来人员带进外</w:t>
      </w:r>
      <w:r>
        <w:rPr>
          <w:rFonts w:hint="eastAsia" w:cs="Times New Roman"/>
        </w:rPr>
        <w:t>来物种，主要是通过车辆和材料不慎引入。但本工程施工和运输均在本生态区，不会存在该风险，影响预测为小。第二，临时占地均进行植被恢复，若大量使用非本区域物种，可能造成外来物种入侵，但本工程</w:t>
      </w:r>
      <w:r>
        <w:rPr>
          <w:rFonts w:hint="eastAsia" w:cs="Times New Roman"/>
          <w:lang w:val="en-US" w:eastAsia="zh-CN"/>
        </w:rPr>
        <w:t>施工结束后将采用本区域物种进行植被恢复</w:t>
      </w:r>
      <w:r>
        <w:rPr>
          <w:rFonts w:hint="eastAsia" w:cs="Times New Roman"/>
        </w:rPr>
        <w:t>。</w:t>
      </w:r>
    </w:p>
    <w:p>
      <w:pPr>
        <w:ind w:firstLine="480"/>
        <w:rPr>
          <w:rFonts w:cs="Times New Roman"/>
        </w:rPr>
      </w:pPr>
      <w:r>
        <w:rPr>
          <w:rFonts w:hint="eastAsia" w:cs="Times New Roman"/>
        </w:rPr>
        <w:t>综上所述，工程施工建设和运营对评价区内外来物种引入的影响风险为</w:t>
      </w:r>
      <w:r>
        <w:rPr>
          <w:rFonts w:cs="Times New Roman"/>
        </w:rPr>
        <w:t>“</w:t>
      </w:r>
      <w:r>
        <w:rPr>
          <w:rFonts w:hint="eastAsia" w:cs="Times New Roman"/>
        </w:rPr>
        <w:t>小</w:t>
      </w:r>
      <w:r>
        <w:rPr>
          <w:rFonts w:cs="Times New Roman"/>
        </w:rPr>
        <w:t>”</w:t>
      </w:r>
      <w:r>
        <w:rPr>
          <w:rFonts w:hint="eastAsia" w:cs="Times New Roman"/>
        </w:rPr>
        <w:t>。</w:t>
      </w:r>
    </w:p>
    <w:p>
      <w:pPr>
        <w:pStyle w:val="5"/>
        <w:numPr>
          <w:ilvl w:val="2"/>
          <w:numId w:val="0"/>
        </w:numPr>
        <w:ind w:leftChars="0"/>
        <w:rPr>
          <w:rFonts w:cs="Times New Roman"/>
        </w:rPr>
      </w:pPr>
      <w:r>
        <w:rPr>
          <w:rFonts w:hint="eastAsia" w:cs="Times New Roman"/>
          <w:lang w:val="en-US" w:eastAsia="zh-CN"/>
        </w:rPr>
        <w:t xml:space="preserve">5.1.3 </w:t>
      </w:r>
      <w:r>
        <w:rPr>
          <w:rFonts w:cs="Times New Roman"/>
        </w:rPr>
        <w:t>对野生动物资源的影响预测</w:t>
      </w:r>
    </w:p>
    <w:p>
      <w:pPr>
        <w:pStyle w:val="6"/>
        <w:numPr>
          <w:ilvl w:val="0"/>
          <w:numId w:val="0"/>
        </w:numPr>
      </w:pPr>
      <w:r>
        <w:t>5.1.3.1施工期</w:t>
      </w:r>
    </w:p>
    <w:p>
      <w:pPr>
        <w:ind w:firstLine="480"/>
        <w:rPr>
          <w:rFonts w:cs="Times New Roman"/>
        </w:rPr>
      </w:pPr>
      <w:r>
        <w:rPr>
          <w:rFonts w:cs="Times New Roman"/>
        </w:rPr>
        <w:t>项目施工期间，各项施工、运输活动将不可避免地对周围的环境产生影响。施工期产生的噪声、粉尘等将会对周围野生动物的栖息地造成一定的干扰和破坏。项目施工期间，施工机械、人为活动噪声会对动物产生惊扰和驱逐作。施工期间产生污染的环节主要是</w:t>
      </w:r>
      <w:r>
        <w:rPr>
          <w:rFonts w:hint="eastAsia" w:cs="Times New Roman"/>
          <w:lang w:val="en-US" w:eastAsia="zh-CN"/>
        </w:rPr>
        <w:t>施工</w:t>
      </w:r>
      <w:r>
        <w:rPr>
          <w:rFonts w:cs="Times New Roman"/>
        </w:rPr>
        <w:t>垃圾清理和物料堆放。主要污染物是施工人员生活污水、施工废水、作业粉尘、固体废弃物以及施工机械排放的烟尘。</w:t>
      </w:r>
    </w:p>
    <w:p>
      <w:pPr>
        <w:ind w:firstLine="482"/>
        <w:rPr>
          <w:rFonts w:cs="Times New Roman"/>
          <w:b/>
        </w:rPr>
      </w:pPr>
      <w:r>
        <w:rPr>
          <w:rFonts w:cs="Times New Roman"/>
          <w:b/>
        </w:rPr>
        <w:t>（一）对水生生物及鱼类的影响</w:t>
      </w:r>
    </w:p>
    <w:p>
      <w:pPr>
        <w:ind w:firstLine="480"/>
        <w:rPr>
          <w:rFonts w:cs="Times New Roman"/>
        </w:rPr>
      </w:pPr>
      <w:r>
        <w:rPr>
          <w:rFonts w:cs="Times New Roman"/>
        </w:rPr>
        <w:t>施工期道路改建不会涉水施工</w:t>
      </w:r>
      <w:r>
        <w:rPr>
          <w:rFonts w:hint="eastAsia" w:cs="Times New Roman"/>
        </w:rPr>
        <w:t>，本身不会对公园鱼类产生影响，但施工材料和人员如管理不善，可能存在对水体环境的影响。这类影响均可以在施工进场对施工活动进行规范和管理加以避免。但是在整个施工过程中将不可避免的扰动地表土壤，</w:t>
      </w:r>
      <w:r>
        <w:rPr>
          <w:rFonts w:hint="eastAsia" w:cs="Times New Roman"/>
          <w:lang w:val="en-US" w:eastAsia="zh-CN"/>
        </w:rPr>
        <w:t>需要</w:t>
      </w:r>
      <w:r>
        <w:rPr>
          <w:rFonts w:hint="eastAsia" w:cs="Times New Roman"/>
        </w:rPr>
        <w:t>对裸露坡面和临时堆土采取彩条布苫盖措施，能降低水土流失的负面影响。项目施工期</w:t>
      </w:r>
      <w:r>
        <w:rPr>
          <w:rFonts w:cs="Times New Roman"/>
        </w:rPr>
        <w:t>不会对鱼类及水生生物赖以生存的水环境造成</w:t>
      </w:r>
      <w:r>
        <w:rPr>
          <w:rFonts w:hint="eastAsia" w:cs="Times New Roman"/>
        </w:rPr>
        <w:t>大</w:t>
      </w:r>
      <w:r>
        <w:rPr>
          <w:rFonts w:cs="Times New Roman"/>
        </w:rPr>
        <w:t>的影响</w:t>
      </w:r>
      <w:r>
        <w:rPr>
          <w:rFonts w:hint="eastAsia" w:cs="Times New Roman"/>
          <w:lang w:eastAsia="zh-CN"/>
        </w:rPr>
        <w:t>，</w:t>
      </w:r>
      <w:r>
        <w:rPr>
          <w:rFonts w:hint="eastAsia" w:cs="Times New Roman"/>
          <w:lang w:val="en-US" w:eastAsia="zh-CN"/>
        </w:rPr>
        <w:t>因此</w:t>
      </w:r>
      <w:r>
        <w:rPr>
          <w:rFonts w:hint="eastAsia" w:cs="Times New Roman"/>
        </w:rPr>
        <w:t>对湿地公园鱼类和水生生物的影响为小。</w:t>
      </w:r>
    </w:p>
    <w:p>
      <w:pPr>
        <w:ind w:firstLine="482"/>
        <w:rPr>
          <w:rFonts w:cs="Times New Roman"/>
          <w:b/>
        </w:rPr>
      </w:pPr>
      <w:r>
        <w:rPr>
          <w:rFonts w:cs="Times New Roman"/>
          <w:b/>
        </w:rPr>
        <w:t>（二）对两栖类和爬行类的影响</w:t>
      </w:r>
    </w:p>
    <w:p>
      <w:pPr>
        <w:ind w:firstLine="480"/>
        <w:rPr>
          <w:rFonts w:hint="eastAsia" w:cs="Times New Roman"/>
        </w:rPr>
      </w:pPr>
      <w:r>
        <w:rPr>
          <w:rFonts w:cs="Times New Roman"/>
          <w:highlight w:val="none"/>
        </w:rPr>
        <w:t>部分边坡施工占用</w:t>
      </w:r>
      <w:r>
        <w:rPr>
          <w:rFonts w:hint="eastAsia" w:cs="Times New Roman"/>
          <w:highlight w:val="none"/>
        </w:rPr>
        <w:t>湿地面积0.4</w:t>
      </w:r>
      <w:r>
        <w:rPr>
          <w:rFonts w:hint="eastAsia" w:cs="Times New Roman"/>
          <w:highlight w:val="none"/>
          <w:lang w:val="en-US" w:eastAsia="zh-CN"/>
        </w:rPr>
        <w:t xml:space="preserve">6 </w:t>
      </w:r>
      <w:r>
        <w:rPr>
          <w:rFonts w:hint="eastAsia" w:cs="Times New Roman"/>
          <w:highlight w:val="none"/>
        </w:rPr>
        <w:t>hm</w:t>
      </w:r>
      <w:r>
        <w:rPr>
          <w:rFonts w:hint="eastAsia" w:cs="Times New Roman"/>
          <w:highlight w:val="none"/>
          <w:vertAlign w:val="superscript"/>
        </w:rPr>
        <w:t>2</w:t>
      </w:r>
      <w:r>
        <w:rPr>
          <w:rFonts w:hint="eastAsia" w:cs="Times New Roman"/>
          <w:highlight w:val="none"/>
        </w:rPr>
        <w:t>，其他路基和边坡施工占用一般陆地7.6</w:t>
      </w:r>
      <w:r>
        <w:rPr>
          <w:rFonts w:hint="eastAsia" w:cs="Times New Roman"/>
          <w:highlight w:val="none"/>
          <w:lang w:val="en-US" w:eastAsia="zh-CN"/>
        </w:rPr>
        <w:t>3</w:t>
      </w:r>
      <w:r>
        <w:rPr>
          <w:rFonts w:hint="eastAsia" w:cs="Times New Roman"/>
          <w:highlight w:val="none"/>
        </w:rPr>
        <w:t xml:space="preserve"> hm</w:t>
      </w:r>
      <w:r>
        <w:rPr>
          <w:rFonts w:hint="eastAsia" w:cs="Times New Roman"/>
          <w:highlight w:val="none"/>
          <w:vertAlign w:val="superscript"/>
        </w:rPr>
        <w:t>2</w:t>
      </w:r>
      <w:r>
        <w:rPr>
          <w:rFonts w:hint="eastAsia" w:cs="Times New Roman"/>
          <w:highlight w:val="none"/>
        </w:rPr>
        <w:t>，</w:t>
      </w:r>
      <w:r>
        <w:rPr>
          <w:rFonts w:cs="Times New Roman"/>
        </w:rPr>
        <w:t>使两栖、爬行类的栖息地面积减少</w:t>
      </w:r>
      <w:r>
        <w:rPr>
          <w:rFonts w:hint="eastAsia" w:cs="Times New Roman"/>
        </w:rPr>
        <w:t>。施工产生的噪声、废水等会对该区域的两栖类和爬行类的生活环境造成直接干扰，降低栖息地质量，迫使它们向干扰较小的区域迁移。项目施工过程中，过往的施工车辆、工程堆积物可能导致部分两栖、爬行类被碾压致死，个体受到伤害或逃往临近区域；项目施工过程中车辆、施工机器若有漏油情况发生，也可能会直接导致一些两栖、爬行类动物的死亡。受此类影响的两栖、爬行动物有高原林蛙、</w:t>
      </w:r>
      <w:r>
        <w:rPr>
          <w:rFonts w:hint="eastAsia" w:cs="Times New Roman"/>
          <w:lang w:val="en-US" w:eastAsia="zh-CN"/>
        </w:rPr>
        <w:t>倭蛙、</w:t>
      </w:r>
      <w:r>
        <w:rPr>
          <w:rFonts w:hint="eastAsia" w:cs="Times New Roman"/>
        </w:rPr>
        <w:t>岷山蟾蜍、秦岭滑蜥、白条锦蛇和高原</w:t>
      </w:r>
      <w:r>
        <w:rPr>
          <w:rFonts w:hint="eastAsia" w:cs="Times New Roman"/>
          <w:lang w:val="en-US" w:eastAsia="zh-CN"/>
        </w:rPr>
        <w:t>蝮</w:t>
      </w:r>
      <w:r>
        <w:rPr>
          <w:rFonts w:hint="eastAsia" w:cs="Times New Roman"/>
        </w:rPr>
        <w:t>。</w:t>
      </w:r>
    </w:p>
    <w:p>
      <w:pPr>
        <w:ind w:firstLine="480"/>
        <w:rPr>
          <w:rFonts w:cs="Times New Roman"/>
        </w:rPr>
      </w:pPr>
      <w:r>
        <w:rPr>
          <w:rFonts w:cs="Times New Roman"/>
        </w:rPr>
        <w:t>但湿地公园内两栖爬行类的替代生境面积较大，受到干扰后两栖爬行类将向周边适宜生境迁移，总体受影响程度较低。</w:t>
      </w:r>
    </w:p>
    <w:p>
      <w:pPr>
        <w:ind w:firstLine="482"/>
        <w:rPr>
          <w:rFonts w:cs="Times New Roman"/>
          <w:b/>
        </w:rPr>
      </w:pPr>
      <w:r>
        <w:rPr>
          <w:rFonts w:cs="Times New Roman"/>
          <w:b/>
        </w:rPr>
        <w:t>（三）对鸟类的影响</w:t>
      </w:r>
    </w:p>
    <w:p>
      <w:pPr>
        <w:ind w:firstLine="480"/>
        <w:rPr>
          <w:rFonts w:cs="Times New Roman"/>
        </w:rPr>
      </w:pPr>
      <w:r>
        <w:rPr>
          <w:rFonts w:cs="Times New Roman"/>
        </w:rPr>
        <w:t>评价区内分布的鸟类以水鸟及伴水生的种类为主，</w:t>
      </w:r>
      <w:r>
        <w:rPr>
          <w:rFonts w:hint="eastAsia" w:cs="Times New Roman"/>
        </w:rPr>
        <w:t>道路</w:t>
      </w:r>
      <w:r>
        <w:rPr>
          <w:rFonts w:cs="Times New Roman"/>
        </w:rPr>
        <w:t>和边坡施工</w:t>
      </w:r>
      <w:r>
        <w:rPr>
          <w:rFonts w:hint="eastAsia" w:cs="Times New Roman"/>
        </w:rPr>
        <w:t>产生</w:t>
      </w:r>
      <w:r>
        <w:rPr>
          <w:rFonts w:cs="Times New Roman"/>
        </w:rPr>
        <w:t>的噪音和粉尘干扰造成较大的干扰，迫使在此区域活动的水鸟飞离该区域至湿地公园其他区域活动，并对施工噪音、粉尘辐射区域的水鸟产生干扰、造成不适。</w:t>
      </w:r>
    </w:p>
    <w:p>
      <w:pPr>
        <w:ind w:firstLine="480"/>
        <w:rPr>
          <w:rFonts w:cs="Times New Roman"/>
        </w:rPr>
      </w:pPr>
      <w:r>
        <w:rPr>
          <w:rFonts w:cs="Times New Roman"/>
        </w:rPr>
        <w:t>施工干扰水鸟在此区域的觅食活动，一些过境鸟类可能因为施工活动而不在评价区停留，施工人员</w:t>
      </w:r>
      <w:r>
        <w:rPr>
          <w:rFonts w:hint="eastAsia" w:cs="Times New Roman"/>
        </w:rPr>
        <w:t>在</w:t>
      </w:r>
      <w:r>
        <w:rPr>
          <w:rFonts w:cs="Times New Roman"/>
        </w:rPr>
        <w:t>湿地公园</w:t>
      </w:r>
      <w:r>
        <w:rPr>
          <w:rFonts w:hint="eastAsia" w:cs="Times New Roman"/>
        </w:rPr>
        <w:t>边缘</w:t>
      </w:r>
      <w:r>
        <w:rPr>
          <w:rFonts w:cs="Times New Roman"/>
        </w:rPr>
        <w:t>活动也对鸟类造成惊扰。</w:t>
      </w:r>
    </w:p>
    <w:p>
      <w:pPr>
        <w:ind w:firstLine="480"/>
        <w:rPr>
          <w:rFonts w:cs="Times New Roman"/>
        </w:rPr>
      </w:pPr>
      <w:r>
        <w:rPr>
          <w:rFonts w:cs="Times New Roman"/>
        </w:rPr>
        <w:t>河滩地是湿地公园内涉禽活动的主要区域，</w:t>
      </w:r>
      <w:r>
        <w:rPr>
          <w:rFonts w:hint="eastAsia" w:cs="Times New Roman"/>
        </w:rPr>
        <w:t>水域区是游禽活动的主要区域，项目施工不占用湿地公园的河滩地和水域区。公路小面积边坡建设占用</w:t>
      </w:r>
      <w:r>
        <w:rPr>
          <w:rFonts w:hint="eastAsia" w:cs="Times New Roman"/>
          <w:color w:val="auto"/>
          <w:highlight w:val="none"/>
        </w:rPr>
        <w:t>湿地，</w:t>
      </w:r>
      <w:r>
        <w:rPr>
          <w:rFonts w:hint="eastAsia" w:cs="Times New Roman"/>
        </w:rPr>
        <w:t>根据实地调查，占地区域为湿地边缘区域，基本属于河岸陆地区</w:t>
      </w:r>
      <w:r>
        <w:rPr>
          <w:rFonts w:hint="eastAsia" w:cs="Times New Roman"/>
          <w:lang w:val="en-US" w:eastAsia="zh-CN"/>
        </w:rPr>
        <w:t>和草地</w:t>
      </w:r>
      <w:r>
        <w:rPr>
          <w:rFonts w:hint="eastAsia" w:cs="Times New Roman"/>
        </w:rPr>
        <w:t>，仅在洪水期才可能淹没。湿地公园还有大面积的典型的洪泛湿地和水域供游禽和涉禽栖息活动，因此项目对游禽和涉禽的活动和栖息地产生的影响非常小。</w:t>
      </w:r>
    </w:p>
    <w:p>
      <w:pPr>
        <w:ind w:firstLine="480"/>
        <w:rPr>
          <w:rFonts w:cs="Times New Roman"/>
        </w:rPr>
      </w:pPr>
      <w:r>
        <w:rPr>
          <w:rFonts w:cs="Times New Roman"/>
        </w:rPr>
        <w:t>评价区的几种猛禽只是偶尔到上空盘旋活动，评价区域不是其主要的活动区域和栖息地，施工活动对其影响较小。</w:t>
      </w:r>
    </w:p>
    <w:p>
      <w:pPr>
        <w:ind w:firstLine="482"/>
        <w:rPr>
          <w:rFonts w:cs="Times New Roman"/>
          <w:b/>
        </w:rPr>
      </w:pPr>
      <w:r>
        <w:rPr>
          <w:rFonts w:cs="Times New Roman"/>
          <w:b/>
        </w:rPr>
        <w:t>（四）对兽类的影响</w:t>
      </w:r>
    </w:p>
    <w:p>
      <w:pPr>
        <w:ind w:firstLine="480"/>
        <w:rPr>
          <w:rFonts w:cs="Times New Roman"/>
        </w:rPr>
      </w:pPr>
      <w:r>
        <w:rPr>
          <w:rFonts w:cs="Times New Roman"/>
        </w:rPr>
        <w:t>评价区活动的兽类以啮齿目的小型兽类为主，适应人类活动干扰，抗干扰能力较强，在河岸带及洪泛湿地中有少量活动。主要影响有：</w:t>
      </w:r>
    </w:p>
    <w:p>
      <w:pPr>
        <w:ind w:firstLine="480"/>
        <w:rPr>
          <w:rFonts w:cs="Times New Roman"/>
        </w:rPr>
      </w:pPr>
      <w:r>
        <w:rPr>
          <w:rFonts w:cs="Times New Roman"/>
        </w:rPr>
        <w:t>（1）在河</w:t>
      </w:r>
      <w:r>
        <w:rPr>
          <w:rFonts w:hint="eastAsia" w:cs="Times New Roman"/>
        </w:rPr>
        <w:t>岸</w:t>
      </w:r>
      <w:r>
        <w:rPr>
          <w:rFonts w:cs="Times New Roman"/>
        </w:rPr>
        <w:t>区域施工期，施工器械和人员进入</w:t>
      </w:r>
      <w:r>
        <w:rPr>
          <w:rFonts w:hint="eastAsia" w:cs="Times New Roman"/>
        </w:rPr>
        <w:t>河岸</w:t>
      </w:r>
      <w:r>
        <w:rPr>
          <w:rFonts w:cs="Times New Roman"/>
        </w:rPr>
        <w:t>区域对在此栖息的小型兽类造成干扰，破坏其栖息和活动觅食地。</w:t>
      </w:r>
    </w:p>
    <w:p>
      <w:pPr>
        <w:ind w:firstLine="480"/>
        <w:rPr>
          <w:rFonts w:cs="Times New Roman"/>
        </w:rPr>
      </w:pPr>
      <w:r>
        <w:rPr>
          <w:rFonts w:cs="Times New Roman"/>
        </w:rPr>
        <w:t>（2）施工噪音对周边活动的小型兽类带来直接干扰，使它们的正常活动受到影响。</w:t>
      </w:r>
    </w:p>
    <w:p>
      <w:pPr>
        <w:ind w:firstLine="480"/>
        <w:rPr>
          <w:rFonts w:cs="Times New Roman"/>
        </w:rPr>
      </w:pPr>
      <w:r>
        <w:rPr>
          <w:rFonts w:cs="Times New Roman"/>
        </w:rPr>
        <w:t>但施工干扰区内活动的小型兽类数量较少，同时对环境干扰的适应能力较强，因此施工活动对其影响较小。</w:t>
      </w:r>
    </w:p>
    <w:p>
      <w:pPr>
        <w:pStyle w:val="6"/>
        <w:numPr>
          <w:ilvl w:val="0"/>
          <w:numId w:val="0"/>
        </w:numPr>
      </w:pPr>
      <w:r>
        <w:t>5.1.3.2运营期</w:t>
      </w:r>
    </w:p>
    <w:p>
      <w:pPr>
        <w:ind w:firstLine="480"/>
        <w:rPr>
          <w:rFonts w:cs="Times New Roman"/>
        </w:rPr>
      </w:pPr>
      <w:r>
        <w:rPr>
          <w:rFonts w:hint="eastAsia" w:cs="Times New Roman"/>
        </w:rPr>
        <w:t>（1）车辆运行及公路维护等产生的空气、水环境污染物和噪声等对公路周边的野生动物的生存环境造成影响。</w:t>
      </w:r>
      <w:r>
        <w:rPr>
          <w:rFonts w:cs="Times New Roman"/>
          <w:bCs/>
        </w:rPr>
        <w:t>来往车辆逐年增加，</w:t>
      </w:r>
      <w:r>
        <w:rPr>
          <w:rFonts w:cs="Times New Roman"/>
        </w:rPr>
        <w:t>将</w:t>
      </w:r>
      <w:r>
        <w:rPr>
          <w:rFonts w:hint="eastAsia" w:cs="Times New Roman"/>
        </w:rPr>
        <w:t>形</w:t>
      </w:r>
      <w:r>
        <w:rPr>
          <w:rFonts w:cs="Times New Roman"/>
        </w:rPr>
        <w:t>成线性的噪声干扰源和带状的大气污染带，对</w:t>
      </w:r>
      <w:r>
        <w:rPr>
          <w:rFonts w:hint="eastAsia" w:cs="Times New Roman"/>
        </w:rPr>
        <w:t>附近</w:t>
      </w:r>
      <w:r>
        <w:rPr>
          <w:rFonts w:cs="Times New Roman"/>
        </w:rPr>
        <w:t>活动动物特别是水鸟</w:t>
      </w:r>
      <w:r>
        <w:rPr>
          <w:rFonts w:hint="eastAsia" w:cs="Times New Roman"/>
        </w:rPr>
        <w:t>以及</w:t>
      </w:r>
      <w:r>
        <w:rPr>
          <w:rFonts w:cs="Times New Roman"/>
        </w:rPr>
        <w:t>迁徙鸟类有一定的影响。</w:t>
      </w:r>
    </w:p>
    <w:p>
      <w:pPr>
        <w:ind w:firstLine="480"/>
        <w:rPr>
          <w:rFonts w:cs="Times New Roman"/>
          <w:sz w:val="15"/>
          <w:szCs w:val="15"/>
        </w:rPr>
      </w:pPr>
      <w:r>
        <w:rPr>
          <w:rFonts w:hint="eastAsia" w:cs="Times New Roman"/>
        </w:rPr>
        <w:t>（2）车辆运营可能对公路路面上活动的爬行类和兽类等造成碾压，对于飞行高度较低的鸟类造成撞击。</w:t>
      </w:r>
    </w:p>
    <w:p>
      <w:pPr>
        <w:ind w:firstLine="480"/>
        <w:rPr>
          <w:rFonts w:cs="Times New Roman"/>
        </w:rPr>
      </w:pPr>
      <w:r>
        <w:rPr>
          <w:rFonts w:hint="eastAsia" w:cs="Times New Roman"/>
        </w:rPr>
        <w:t>（3）交通事故发生时油污泄漏可能进入湿地公园，影响湿地公园的土壤和水环境，从而影响动物的栖息环境。</w:t>
      </w:r>
    </w:p>
    <w:p>
      <w:pPr>
        <w:pStyle w:val="3"/>
        <w:numPr>
          <w:ilvl w:val="1"/>
          <w:numId w:val="0"/>
        </w:numPr>
        <w:ind w:leftChars="0"/>
        <w:rPr>
          <w:rFonts w:cs="Times New Roman"/>
        </w:rPr>
      </w:pPr>
      <w:bookmarkStart w:id="30" w:name="_Toc12197"/>
      <w:r>
        <w:rPr>
          <w:rFonts w:hint="eastAsia" w:cs="Times New Roman"/>
          <w:lang w:val="en-US" w:eastAsia="zh-CN"/>
        </w:rPr>
        <w:t>5.2</w:t>
      </w:r>
      <w:r>
        <w:rPr>
          <w:rFonts w:cs="Times New Roman"/>
        </w:rPr>
        <w:t>建设项目对湿地景观的影响预测</w:t>
      </w:r>
      <w:bookmarkEnd w:id="30"/>
    </w:p>
    <w:p>
      <w:pPr>
        <w:pStyle w:val="5"/>
        <w:numPr>
          <w:ilvl w:val="2"/>
          <w:numId w:val="0"/>
        </w:numPr>
        <w:ind w:leftChars="0"/>
        <w:rPr>
          <w:rFonts w:cs="Times New Roman"/>
        </w:rPr>
      </w:pPr>
      <w:r>
        <w:rPr>
          <w:rFonts w:hint="eastAsia" w:cs="Times New Roman"/>
          <w:lang w:val="en-US" w:eastAsia="zh-CN"/>
        </w:rPr>
        <w:t xml:space="preserve">5.2.1 </w:t>
      </w:r>
      <w:r>
        <w:rPr>
          <w:rFonts w:cs="Times New Roman"/>
        </w:rPr>
        <w:t>对湿地景观面积完整性的影响预测</w:t>
      </w:r>
    </w:p>
    <w:p>
      <w:pPr>
        <w:ind w:firstLine="480"/>
        <w:rPr>
          <w:rFonts w:cs="Times New Roman"/>
        </w:rPr>
      </w:pPr>
      <w:r>
        <w:rPr>
          <w:rFonts w:cs="Times New Roman"/>
        </w:rPr>
        <w:t>本项目只有</w:t>
      </w:r>
      <w:r>
        <w:rPr>
          <w:rFonts w:hint="eastAsia" w:cs="Times New Roman"/>
          <w:highlight w:val="none"/>
          <w:lang w:val="en-US" w:eastAsia="zh-CN"/>
        </w:rPr>
        <w:t xml:space="preserve">10900 </w:t>
      </w:r>
      <w:r>
        <w:rPr>
          <w:rFonts w:cs="Times New Roman"/>
          <w:highlight w:val="none"/>
        </w:rPr>
        <w:t>m</w:t>
      </w:r>
      <w:r>
        <w:rPr>
          <w:rFonts w:hint="eastAsia" w:cs="Times New Roman"/>
          <w:highlight w:val="none"/>
        </w:rPr>
        <w:t>道路的</w:t>
      </w:r>
      <w:r>
        <w:rPr>
          <w:rFonts w:cs="Times New Roman"/>
          <w:highlight w:val="none"/>
        </w:rPr>
        <w:t>部分路基和边坡位于湿地公园</w:t>
      </w:r>
      <w:r>
        <w:rPr>
          <w:rFonts w:hint="eastAsia" w:cs="Times New Roman"/>
          <w:highlight w:val="none"/>
        </w:rPr>
        <w:t>边缘</w:t>
      </w:r>
      <w:r>
        <w:rPr>
          <w:rFonts w:hint="eastAsia" w:cs="Times New Roman"/>
        </w:rPr>
        <w:t>，</w:t>
      </w:r>
      <w:r>
        <w:rPr>
          <w:rFonts w:cs="Times New Roman"/>
        </w:rPr>
        <w:t>侵占湿地公园湿地景观面积及类型见下表5-2。</w:t>
      </w:r>
    </w:p>
    <w:p>
      <w:pPr>
        <w:spacing w:after="32" w:afterLines="10"/>
        <w:ind w:firstLine="0" w:firstLineChars="0"/>
        <w:jc w:val="center"/>
        <w:rPr>
          <w:rFonts w:cs="Times New Roman"/>
          <w:b/>
        </w:rPr>
      </w:pPr>
      <w:r>
        <w:rPr>
          <w:rFonts w:cs="Times New Roman"/>
          <w:b/>
        </w:rPr>
        <w:t>表5-2工程在湿地公园内侵占影响湿地类型及面积统计表</w:t>
      </w:r>
    </w:p>
    <w:tbl>
      <w:tblPr>
        <w:tblStyle w:val="42"/>
        <w:tblW w:w="476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1"/>
        <w:gridCol w:w="2038"/>
        <w:gridCol w:w="1985"/>
        <w:gridCol w:w="21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blHeader/>
          <w:jc w:val="center"/>
        </w:trPr>
        <w:tc>
          <w:tcPr>
            <w:tcW w:w="1200" w:type="pct"/>
            <w:shd w:val="clear" w:color="auto" w:fill="auto"/>
            <w:noWrap/>
            <w:vAlign w:val="center"/>
          </w:tcPr>
          <w:p>
            <w:pPr>
              <w:spacing w:after="32" w:afterLines="10" w:line="240" w:lineRule="auto"/>
              <w:ind w:firstLine="0" w:firstLineChars="0"/>
              <w:jc w:val="center"/>
              <w:rPr>
                <w:rFonts w:cs="Times New Roman"/>
                <w:b/>
                <w:bCs/>
                <w:sz w:val="21"/>
                <w:szCs w:val="21"/>
                <w:highlight w:val="none"/>
              </w:rPr>
            </w:pPr>
            <w:r>
              <w:rPr>
                <w:rFonts w:hint="eastAsia" w:cs="Times New Roman"/>
                <w:b/>
                <w:bCs/>
                <w:sz w:val="21"/>
                <w:szCs w:val="21"/>
                <w:highlight w:val="none"/>
              </w:rPr>
              <w:t>资源类型</w:t>
            </w:r>
          </w:p>
        </w:tc>
        <w:tc>
          <w:tcPr>
            <w:tcW w:w="1254" w:type="pct"/>
            <w:shd w:val="clear" w:color="auto" w:fill="auto"/>
            <w:noWrap/>
            <w:vAlign w:val="center"/>
          </w:tcPr>
          <w:p>
            <w:pPr>
              <w:spacing w:after="32" w:afterLines="10" w:line="240" w:lineRule="auto"/>
              <w:ind w:firstLine="0" w:firstLineChars="0"/>
              <w:jc w:val="center"/>
              <w:rPr>
                <w:rFonts w:cs="Times New Roman"/>
                <w:b/>
                <w:bCs/>
                <w:sz w:val="21"/>
                <w:szCs w:val="21"/>
                <w:highlight w:val="none"/>
              </w:rPr>
            </w:pPr>
            <w:r>
              <w:rPr>
                <w:rFonts w:hint="eastAsia" w:cs="Times New Roman"/>
                <w:b/>
                <w:bCs/>
                <w:sz w:val="21"/>
                <w:szCs w:val="21"/>
                <w:highlight w:val="none"/>
              </w:rPr>
              <w:t>湿地公园总面积（</w:t>
            </w:r>
            <w:r>
              <w:rPr>
                <w:rFonts w:cs="Times New Roman"/>
                <w:b/>
                <w:bCs/>
                <w:sz w:val="21"/>
                <w:szCs w:val="21"/>
                <w:highlight w:val="none"/>
              </w:rPr>
              <w:t>hm</w:t>
            </w:r>
            <w:r>
              <w:rPr>
                <w:rFonts w:cs="Times New Roman"/>
                <w:b/>
                <w:bCs/>
                <w:sz w:val="21"/>
                <w:szCs w:val="21"/>
                <w:highlight w:val="none"/>
                <w:vertAlign w:val="superscript"/>
              </w:rPr>
              <w:t>2</w:t>
            </w:r>
            <w:r>
              <w:rPr>
                <w:rFonts w:hint="eastAsia" w:cs="Times New Roman"/>
                <w:b/>
                <w:bCs/>
                <w:sz w:val="21"/>
                <w:szCs w:val="21"/>
                <w:highlight w:val="none"/>
              </w:rPr>
              <w:t>）</w:t>
            </w:r>
          </w:p>
        </w:tc>
        <w:tc>
          <w:tcPr>
            <w:tcW w:w="1221" w:type="pct"/>
            <w:shd w:val="clear" w:color="auto" w:fill="auto"/>
            <w:noWrap/>
            <w:vAlign w:val="center"/>
          </w:tcPr>
          <w:p>
            <w:pPr>
              <w:spacing w:after="32" w:afterLines="10" w:line="240" w:lineRule="auto"/>
              <w:ind w:firstLine="0" w:firstLineChars="0"/>
              <w:jc w:val="center"/>
              <w:rPr>
                <w:rFonts w:cs="Times New Roman"/>
                <w:b/>
                <w:bCs/>
                <w:sz w:val="21"/>
                <w:szCs w:val="21"/>
                <w:highlight w:val="none"/>
              </w:rPr>
            </w:pPr>
            <w:r>
              <w:rPr>
                <w:rFonts w:hint="eastAsia" w:cs="Times New Roman"/>
                <w:b/>
                <w:bCs/>
                <w:sz w:val="21"/>
                <w:szCs w:val="21"/>
                <w:highlight w:val="none"/>
              </w:rPr>
              <w:t>永久占地面积（</w:t>
            </w:r>
            <w:r>
              <w:rPr>
                <w:rFonts w:cs="Times New Roman"/>
                <w:b/>
                <w:bCs/>
                <w:sz w:val="21"/>
                <w:szCs w:val="21"/>
                <w:highlight w:val="none"/>
              </w:rPr>
              <w:t>hm</w:t>
            </w:r>
            <w:r>
              <w:rPr>
                <w:rFonts w:cs="Times New Roman"/>
                <w:b/>
                <w:bCs/>
                <w:sz w:val="21"/>
                <w:szCs w:val="21"/>
                <w:highlight w:val="none"/>
                <w:vertAlign w:val="superscript"/>
              </w:rPr>
              <w:t>2</w:t>
            </w:r>
            <w:r>
              <w:rPr>
                <w:rFonts w:hint="eastAsia" w:cs="Times New Roman"/>
                <w:b/>
                <w:bCs/>
                <w:sz w:val="21"/>
                <w:szCs w:val="21"/>
                <w:highlight w:val="none"/>
              </w:rPr>
              <w:t>）</w:t>
            </w:r>
          </w:p>
        </w:tc>
        <w:tc>
          <w:tcPr>
            <w:tcW w:w="1322" w:type="pct"/>
            <w:vAlign w:val="center"/>
          </w:tcPr>
          <w:p>
            <w:pPr>
              <w:spacing w:after="32" w:afterLines="10" w:line="240" w:lineRule="auto"/>
              <w:ind w:firstLine="0" w:firstLineChars="0"/>
              <w:jc w:val="center"/>
              <w:rPr>
                <w:rFonts w:cs="Times New Roman"/>
                <w:b/>
                <w:bCs/>
                <w:sz w:val="21"/>
                <w:szCs w:val="21"/>
                <w:highlight w:val="none"/>
              </w:rPr>
            </w:pPr>
            <w:r>
              <w:rPr>
                <w:rFonts w:hint="eastAsia" w:cs="Times New Roman"/>
                <w:b/>
                <w:bCs/>
                <w:sz w:val="21"/>
                <w:szCs w:val="21"/>
                <w:highlight w:val="none"/>
              </w:rPr>
              <w:t>受影响比例（</w:t>
            </w:r>
            <w:r>
              <w:rPr>
                <w:rFonts w:cs="Times New Roman"/>
                <w:b/>
                <w:bCs/>
                <w:sz w:val="21"/>
                <w:szCs w:val="21"/>
                <w:highlight w:val="none"/>
              </w:rPr>
              <w:t>%</w:t>
            </w:r>
            <w:r>
              <w:rPr>
                <w:rFonts w:hint="eastAsia" w:cs="Times New Roman"/>
                <w:b/>
                <w:bCs/>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200" w:type="pct"/>
            <w:shd w:val="clear" w:color="auto" w:fill="auto"/>
            <w:noWrap/>
            <w:vAlign w:val="bottom"/>
          </w:tcPr>
          <w:p>
            <w:pPr>
              <w:widowControl/>
              <w:spacing w:line="240" w:lineRule="auto"/>
              <w:ind w:firstLine="0" w:firstLineChars="0"/>
              <w:jc w:val="center"/>
              <w:rPr>
                <w:rFonts w:hint="eastAsia" w:eastAsia="宋体" w:cs="Times New Roman"/>
                <w:kern w:val="0"/>
                <w:sz w:val="21"/>
                <w:szCs w:val="21"/>
                <w:highlight w:val="none"/>
                <w:lang w:val="en-US" w:eastAsia="zh-CN"/>
              </w:rPr>
            </w:pPr>
            <w:r>
              <w:rPr>
                <w:rFonts w:cs="Times New Roman"/>
                <w:kern w:val="0"/>
                <w:sz w:val="21"/>
                <w:szCs w:val="21"/>
                <w:highlight w:val="none"/>
              </w:rPr>
              <w:t>湿地</w:t>
            </w:r>
            <w:r>
              <w:rPr>
                <w:rFonts w:hint="eastAsia" w:cs="Times New Roman"/>
                <w:kern w:val="0"/>
                <w:sz w:val="21"/>
                <w:szCs w:val="21"/>
                <w:highlight w:val="none"/>
                <w:lang w:val="en-US" w:eastAsia="zh-CN"/>
              </w:rPr>
              <w:t>资源</w:t>
            </w:r>
          </w:p>
        </w:tc>
        <w:tc>
          <w:tcPr>
            <w:tcW w:w="1254" w:type="pct"/>
            <w:shd w:val="clear" w:color="auto" w:fill="auto"/>
            <w:noWrap/>
            <w:vAlign w:val="bottom"/>
          </w:tcPr>
          <w:p>
            <w:pPr>
              <w:widowControl/>
              <w:spacing w:line="240" w:lineRule="auto"/>
              <w:ind w:firstLine="0" w:firstLineChars="0"/>
              <w:jc w:val="center"/>
              <w:rPr>
                <w:rFonts w:hint="default" w:eastAsia="宋体" w:cs="Times New Roman"/>
                <w:kern w:val="0"/>
                <w:sz w:val="21"/>
                <w:szCs w:val="21"/>
                <w:highlight w:val="none"/>
                <w:lang w:val="en-US" w:eastAsia="zh-CN"/>
              </w:rPr>
            </w:pPr>
            <w:r>
              <w:rPr>
                <w:rFonts w:hint="eastAsia" w:cs="Times New Roman"/>
                <w:kern w:val="0"/>
                <w:sz w:val="21"/>
                <w:szCs w:val="21"/>
                <w:highlight w:val="none"/>
                <w:lang w:val="en-US" w:eastAsia="zh-CN"/>
              </w:rPr>
              <w:t>1201.11</w:t>
            </w:r>
          </w:p>
        </w:tc>
        <w:tc>
          <w:tcPr>
            <w:tcW w:w="1221" w:type="pct"/>
            <w:shd w:val="clear" w:color="auto" w:fill="auto"/>
            <w:noWrap/>
            <w:vAlign w:val="bottom"/>
          </w:tcPr>
          <w:p>
            <w:pPr>
              <w:widowControl/>
              <w:spacing w:line="240" w:lineRule="auto"/>
              <w:ind w:firstLine="0" w:firstLineChars="0"/>
              <w:jc w:val="center"/>
              <w:rPr>
                <w:rFonts w:hint="default" w:eastAsia="宋体" w:cs="Times New Roman"/>
                <w:kern w:val="0"/>
                <w:sz w:val="21"/>
                <w:szCs w:val="21"/>
                <w:highlight w:val="none"/>
                <w:lang w:val="en-US" w:eastAsia="zh-CN"/>
              </w:rPr>
            </w:pPr>
            <w:r>
              <w:rPr>
                <w:rFonts w:hint="eastAsia" w:cs="Times New Roman"/>
                <w:kern w:val="0"/>
                <w:sz w:val="21"/>
                <w:szCs w:val="21"/>
                <w:highlight w:val="none"/>
                <w:lang w:val="en-US" w:eastAsia="zh-CN"/>
              </w:rPr>
              <w:t>0.46</w:t>
            </w:r>
          </w:p>
        </w:tc>
        <w:tc>
          <w:tcPr>
            <w:tcW w:w="1322" w:type="pct"/>
            <w:vAlign w:val="center"/>
          </w:tcPr>
          <w:p>
            <w:pPr>
              <w:widowControl/>
              <w:spacing w:line="240" w:lineRule="auto"/>
              <w:ind w:firstLine="0" w:firstLineChars="0"/>
              <w:jc w:val="center"/>
              <w:rPr>
                <w:rFonts w:hint="default" w:eastAsia="宋体" w:cs="Times New Roman"/>
                <w:kern w:val="0"/>
                <w:sz w:val="21"/>
                <w:szCs w:val="21"/>
                <w:highlight w:val="none"/>
                <w:lang w:val="en-US" w:eastAsia="zh-CN"/>
              </w:rPr>
            </w:pPr>
            <w:r>
              <w:rPr>
                <w:rFonts w:hint="eastAsia" w:cs="Times New Roman"/>
                <w:sz w:val="21"/>
                <w:szCs w:val="21"/>
                <w:highlight w:val="none"/>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200" w:type="pct"/>
            <w:shd w:val="clear" w:color="auto" w:fill="auto"/>
            <w:noWrap/>
            <w:vAlign w:val="bottom"/>
          </w:tcPr>
          <w:p>
            <w:pPr>
              <w:widowControl/>
              <w:spacing w:line="240" w:lineRule="auto"/>
              <w:ind w:firstLine="0" w:firstLineChars="0"/>
              <w:jc w:val="center"/>
              <w:rPr>
                <w:rFonts w:cs="Times New Roman"/>
                <w:kern w:val="0"/>
                <w:sz w:val="21"/>
                <w:szCs w:val="21"/>
                <w:highlight w:val="none"/>
              </w:rPr>
            </w:pPr>
            <w:r>
              <w:rPr>
                <w:rFonts w:cs="Times New Roman"/>
                <w:kern w:val="0"/>
                <w:sz w:val="21"/>
                <w:szCs w:val="21"/>
                <w:highlight w:val="none"/>
              </w:rPr>
              <w:t>其他陆地资源</w:t>
            </w:r>
          </w:p>
        </w:tc>
        <w:tc>
          <w:tcPr>
            <w:tcW w:w="1254" w:type="pct"/>
            <w:shd w:val="clear" w:color="auto" w:fill="auto"/>
            <w:noWrap/>
            <w:vAlign w:val="bottom"/>
          </w:tcPr>
          <w:p>
            <w:pPr>
              <w:widowControl/>
              <w:spacing w:line="240" w:lineRule="auto"/>
              <w:ind w:firstLine="0" w:firstLineChars="0"/>
              <w:jc w:val="center"/>
              <w:rPr>
                <w:rFonts w:hint="default" w:eastAsia="宋体" w:cs="Times New Roman"/>
                <w:kern w:val="0"/>
                <w:sz w:val="21"/>
                <w:szCs w:val="21"/>
                <w:highlight w:val="none"/>
                <w:lang w:val="en-US" w:eastAsia="zh-CN"/>
              </w:rPr>
            </w:pPr>
            <w:r>
              <w:rPr>
                <w:rFonts w:hint="eastAsia" w:cs="Times New Roman"/>
                <w:kern w:val="0"/>
                <w:sz w:val="21"/>
                <w:szCs w:val="21"/>
                <w:highlight w:val="none"/>
                <w:lang w:val="en-US" w:eastAsia="zh-CN"/>
              </w:rPr>
              <w:t>2467.38</w:t>
            </w:r>
          </w:p>
        </w:tc>
        <w:tc>
          <w:tcPr>
            <w:tcW w:w="1221" w:type="pct"/>
            <w:shd w:val="clear" w:color="auto" w:fill="auto"/>
            <w:noWrap/>
            <w:vAlign w:val="bottom"/>
          </w:tcPr>
          <w:p>
            <w:pPr>
              <w:widowControl/>
              <w:spacing w:line="240" w:lineRule="auto"/>
              <w:ind w:firstLine="0" w:firstLineChars="0"/>
              <w:jc w:val="center"/>
              <w:rPr>
                <w:rFonts w:hint="default" w:eastAsia="宋体" w:cs="Times New Roman"/>
                <w:kern w:val="0"/>
                <w:sz w:val="21"/>
                <w:szCs w:val="21"/>
                <w:highlight w:val="none"/>
                <w:lang w:val="en-US" w:eastAsia="zh-CN"/>
              </w:rPr>
            </w:pPr>
            <w:r>
              <w:rPr>
                <w:rFonts w:hint="eastAsia" w:cs="Times New Roman"/>
                <w:kern w:val="0"/>
                <w:sz w:val="21"/>
                <w:szCs w:val="21"/>
                <w:highlight w:val="none"/>
                <w:lang w:val="en-US" w:eastAsia="zh-CN"/>
              </w:rPr>
              <w:t>7.63</w:t>
            </w:r>
          </w:p>
        </w:tc>
        <w:tc>
          <w:tcPr>
            <w:tcW w:w="1322" w:type="pct"/>
            <w:vAlign w:val="center"/>
          </w:tcPr>
          <w:p>
            <w:pPr>
              <w:widowControl/>
              <w:spacing w:line="240" w:lineRule="auto"/>
              <w:ind w:firstLine="0" w:firstLineChars="0"/>
              <w:jc w:val="center"/>
              <w:rPr>
                <w:rFonts w:hint="default" w:eastAsia="宋体" w:cs="Times New Roman"/>
                <w:kern w:val="0"/>
                <w:sz w:val="21"/>
                <w:szCs w:val="21"/>
                <w:highlight w:val="none"/>
                <w:lang w:val="en-US" w:eastAsia="zh-CN"/>
              </w:rPr>
            </w:pPr>
            <w:r>
              <w:rPr>
                <w:rFonts w:hint="eastAsia" w:cs="Times New Roman"/>
                <w:sz w:val="21"/>
                <w:szCs w:val="21"/>
                <w:highlight w:val="none"/>
                <w:lang w:val="en-US" w:eastAsia="zh-CN"/>
              </w:rPr>
              <w:t>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200" w:type="pct"/>
            <w:shd w:val="clear" w:color="auto" w:fill="auto"/>
            <w:noWrap/>
            <w:vAlign w:val="bottom"/>
          </w:tcPr>
          <w:p>
            <w:pPr>
              <w:widowControl/>
              <w:spacing w:line="240" w:lineRule="auto"/>
              <w:ind w:firstLine="0" w:firstLineChars="0"/>
              <w:jc w:val="center"/>
              <w:rPr>
                <w:rFonts w:cs="Times New Roman"/>
                <w:kern w:val="0"/>
                <w:sz w:val="21"/>
                <w:szCs w:val="21"/>
                <w:highlight w:val="none"/>
              </w:rPr>
            </w:pPr>
            <w:r>
              <w:rPr>
                <w:rFonts w:cs="Times New Roman"/>
                <w:kern w:val="0"/>
                <w:sz w:val="21"/>
                <w:szCs w:val="21"/>
                <w:highlight w:val="none"/>
              </w:rPr>
              <w:t>合计</w:t>
            </w:r>
          </w:p>
        </w:tc>
        <w:tc>
          <w:tcPr>
            <w:tcW w:w="1254" w:type="pct"/>
            <w:shd w:val="clear" w:color="auto" w:fill="auto"/>
            <w:noWrap/>
            <w:vAlign w:val="bottom"/>
          </w:tcPr>
          <w:p>
            <w:pPr>
              <w:widowControl/>
              <w:spacing w:line="240" w:lineRule="auto"/>
              <w:ind w:firstLine="0" w:firstLineChars="0"/>
              <w:jc w:val="center"/>
              <w:rPr>
                <w:rFonts w:hint="default" w:eastAsia="宋体" w:cs="Times New Roman"/>
                <w:kern w:val="0"/>
                <w:sz w:val="21"/>
                <w:szCs w:val="21"/>
                <w:highlight w:val="none"/>
                <w:lang w:val="en-US" w:eastAsia="zh-CN"/>
              </w:rPr>
            </w:pPr>
            <w:r>
              <w:rPr>
                <w:rFonts w:hint="eastAsia" w:cs="Times New Roman"/>
                <w:kern w:val="0"/>
                <w:sz w:val="21"/>
                <w:szCs w:val="21"/>
                <w:highlight w:val="none"/>
                <w:lang w:val="en-US" w:eastAsia="zh-CN"/>
              </w:rPr>
              <w:t>3668.49</w:t>
            </w:r>
          </w:p>
        </w:tc>
        <w:tc>
          <w:tcPr>
            <w:tcW w:w="1221" w:type="pct"/>
            <w:shd w:val="clear" w:color="auto" w:fill="auto"/>
            <w:noWrap/>
            <w:vAlign w:val="bottom"/>
          </w:tcPr>
          <w:p>
            <w:pPr>
              <w:widowControl/>
              <w:spacing w:line="240" w:lineRule="auto"/>
              <w:ind w:firstLine="0" w:firstLineChars="0"/>
              <w:jc w:val="center"/>
              <w:rPr>
                <w:rFonts w:hint="default" w:eastAsia="宋体" w:cs="Times New Roman"/>
                <w:kern w:val="0"/>
                <w:sz w:val="21"/>
                <w:szCs w:val="21"/>
                <w:highlight w:val="none"/>
                <w:lang w:val="en-US" w:eastAsia="zh-CN"/>
              </w:rPr>
            </w:pPr>
            <w:r>
              <w:rPr>
                <w:rFonts w:hint="eastAsia" w:cs="Times New Roman"/>
                <w:kern w:val="0"/>
                <w:sz w:val="21"/>
                <w:szCs w:val="21"/>
                <w:highlight w:val="none"/>
                <w:lang w:val="en-US" w:eastAsia="zh-CN"/>
              </w:rPr>
              <w:t>8.09</w:t>
            </w:r>
          </w:p>
        </w:tc>
        <w:tc>
          <w:tcPr>
            <w:tcW w:w="1322" w:type="pct"/>
            <w:vAlign w:val="center"/>
          </w:tcPr>
          <w:p>
            <w:pPr>
              <w:widowControl/>
              <w:spacing w:line="240" w:lineRule="auto"/>
              <w:ind w:firstLine="0" w:firstLineChars="0"/>
              <w:jc w:val="center"/>
              <w:rPr>
                <w:rFonts w:hint="default" w:eastAsia="宋体" w:cs="Times New Roman"/>
                <w:kern w:val="0"/>
                <w:sz w:val="21"/>
                <w:szCs w:val="21"/>
                <w:highlight w:val="none"/>
                <w:lang w:val="en-US" w:eastAsia="zh-CN"/>
              </w:rPr>
            </w:pPr>
            <w:r>
              <w:rPr>
                <w:rFonts w:hint="eastAsia" w:cs="Times New Roman"/>
                <w:sz w:val="21"/>
                <w:szCs w:val="21"/>
                <w:highlight w:val="none"/>
              </w:rPr>
              <w:t>0.</w:t>
            </w:r>
            <w:r>
              <w:rPr>
                <w:rFonts w:hint="eastAsia" w:cs="Times New Roman"/>
                <w:sz w:val="21"/>
                <w:szCs w:val="21"/>
                <w:highlight w:val="none"/>
                <w:lang w:val="en-US" w:eastAsia="zh-CN"/>
              </w:rPr>
              <w:t>22</w:t>
            </w:r>
          </w:p>
        </w:tc>
      </w:tr>
    </w:tbl>
    <w:p>
      <w:pPr>
        <w:ind w:firstLine="480"/>
        <w:rPr>
          <w:rFonts w:cs="Times New Roman"/>
        </w:rPr>
      </w:pPr>
      <w:r>
        <w:rPr>
          <w:rFonts w:cs="Times New Roman"/>
          <w:highlight w:val="none"/>
        </w:rPr>
        <w:t>本项目在湿地公园内永久占地</w:t>
      </w:r>
      <w:r>
        <w:rPr>
          <w:rFonts w:hint="eastAsia" w:cs="Times New Roman"/>
          <w:highlight w:val="none"/>
          <w:lang w:val="en-US" w:eastAsia="zh-CN"/>
        </w:rPr>
        <w:t xml:space="preserve">8.09 </w:t>
      </w:r>
      <w:r>
        <w:rPr>
          <w:rFonts w:cs="Times New Roman"/>
          <w:highlight w:val="none"/>
        </w:rPr>
        <w:t>hm</w:t>
      </w:r>
      <w:r>
        <w:rPr>
          <w:rFonts w:cs="Times New Roman"/>
          <w:highlight w:val="none"/>
          <w:vertAlign w:val="superscript"/>
        </w:rPr>
        <w:t>2</w:t>
      </w:r>
      <w:r>
        <w:rPr>
          <w:rFonts w:cs="Times New Roman"/>
          <w:highlight w:val="none"/>
        </w:rPr>
        <w:t>，占湿地公园总面积的</w:t>
      </w:r>
      <w:r>
        <w:rPr>
          <w:rFonts w:hint="eastAsia" w:cs="Times New Roman"/>
          <w:highlight w:val="none"/>
        </w:rPr>
        <w:t>0.</w:t>
      </w:r>
      <w:r>
        <w:rPr>
          <w:rFonts w:hint="eastAsia" w:cs="Times New Roman"/>
          <w:highlight w:val="none"/>
          <w:lang w:val="en-US" w:eastAsia="zh-CN"/>
        </w:rPr>
        <w:t>22</w:t>
      </w:r>
      <w:r>
        <w:rPr>
          <w:rFonts w:cs="Times New Roman"/>
          <w:highlight w:val="none"/>
        </w:rPr>
        <w:t>%</w:t>
      </w:r>
      <w:r>
        <w:rPr>
          <w:rFonts w:hint="eastAsia" w:cs="Times New Roman"/>
          <w:highlight w:val="none"/>
        </w:rPr>
        <w:t>。</w:t>
      </w:r>
      <w:r>
        <w:rPr>
          <w:rFonts w:cs="Times New Roman"/>
          <w:highlight w:val="none"/>
        </w:rPr>
        <w:t>从湿地类型及受影响面积分析</w:t>
      </w:r>
      <w:r>
        <w:rPr>
          <w:rFonts w:hint="eastAsia" w:cs="Times New Roman"/>
          <w:highlight w:val="none"/>
        </w:rPr>
        <w:t>，</w:t>
      </w:r>
      <w:r>
        <w:rPr>
          <w:rFonts w:cs="Times New Roman"/>
          <w:highlight w:val="none"/>
        </w:rPr>
        <w:t>湿地受影响面积</w:t>
      </w:r>
      <w:r>
        <w:rPr>
          <w:rFonts w:hint="eastAsia" w:cs="Times New Roman"/>
          <w:highlight w:val="none"/>
        </w:rPr>
        <w:t>0.</w:t>
      </w:r>
      <w:r>
        <w:rPr>
          <w:rFonts w:hint="eastAsia" w:cs="Times New Roman"/>
          <w:highlight w:val="none"/>
          <w:lang w:val="en-US" w:eastAsia="zh-CN"/>
        </w:rPr>
        <w:t xml:space="preserve">46 </w:t>
      </w:r>
      <w:r>
        <w:rPr>
          <w:rFonts w:cs="Times New Roman"/>
          <w:highlight w:val="none"/>
        </w:rPr>
        <w:t>hm</w:t>
      </w:r>
      <w:r>
        <w:rPr>
          <w:rFonts w:cs="Times New Roman"/>
          <w:highlight w:val="none"/>
          <w:vertAlign w:val="superscript"/>
        </w:rPr>
        <w:t>2</w:t>
      </w:r>
      <w:r>
        <w:rPr>
          <w:rFonts w:cs="Times New Roman"/>
          <w:highlight w:val="none"/>
        </w:rPr>
        <w:t>，占</w:t>
      </w:r>
      <w:r>
        <w:rPr>
          <w:rFonts w:hint="eastAsia" w:cs="Times New Roman"/>
          <w:highlight w:val="none"/>
        </w:rPr>
        <w:t>湿地</w:t>
      </w:r>
      <w:r>
        <w:rPr>
          <w:rFonts w:cs="Times New Roman"/>
          <w:highlight w:val="none"/>
        </w:rPr>
        <w:t>公园区湿地总面积的</w:t>
      </w:r>
      <w:r>
        <w:rPr>
          <w:rFonts w:hint="eastAsia" w:cs="Times New Roman"/>
          <w:highlight w:val="none"/>
        </w:rPr>
        <w:t>0.</w:t>
      </w:r>
      <w:r>
        <w:rPr>
          <w:rFonts w:hint="eastAsia" w:cs="Times New Roman"/>
          <w:highlight w:val="none"/>
          <w:lang w:val="en-US" w:eastAsia="zh-CN"/>
        </w:rPr>
        <w:t>04</w:t>
      </w:r>
      <w:r>
        <w:rPr>
          <w:rFonts w:cs="Times New Roman"/>
          <w:highlight w:val="none"/>
        </w:rPr>
        <w:t>%，比例</w:t>
      </w:r>
      <w:r>
        <w:rPr>
          <w:rFonts w:cs="Times New Roman"/>
        </w:rPr>
        <w:t>很小</w:t>
      </w:r>
      <w:r>
        <w:rPr>
          <w:rFonts w:hint="eastAsia" w:cs="Times New Roman"/>
        </w:rPr>
        <w:t>。</w:t>
      </w:r>
      <w:r>
        <w:rPr>
          <w:rFonts w:cs="Times New Roman"/>
        </w:rPr>
        <w:t>运营期对湿地公园水质及湿地功能无明显不利影响</w:t>
      </w:r>
      <w:r>
        <w:rPr>
          <w:rFonts w:hint="eastAsia" w:cs="Times New Roman"/>
        </w:rPr>
        <w:t>。因此，项目建设使</w:t>
      </w:r>
      <w:r>
        <w:rPr>
          <w:rFonts w:cs="Times New Roman"/>
        </w:rPr>
        <w:t>洪泛湿地景观面积略有减少，但施工和运营不会对区内湿地景观的完整性和整体功能造成明显影响。</w:t>
      </w:r>
    </w:p>
    <w:p>
      <w:pPr>
        <w:pStyle w:val="5"/>
        <w:numPr>
          <w:ilvl w:val="2"/>
          <w:numId w:val="0"/>
        </w:numPr>
        <w:ind w:leftChars="0"/>
        <w:rPr>
          <w:rFonts w:cs="Times New Roman"/>
        </w:rPr>
      </w:pPr>
      <w:r>
        <w:rPr>
          <w:rFonts w:hint="eastAsia" w:cs="Times New Roman"/>
          <w:lang w:val="en-US" w:eastAsia="zh-CN"/>
        </w:rPr>
        <w:t xml:space="preserve">5.2.2 </w:t>
      </w:r>
      <w:r>
        <w:rPr>
          <w:rFonts w:cs="Times New Roman"/>
        </w:rPr>
        <w:t>对湿地景观多样性的影响预测</w:t>
      </w:r>
    </w:p>
    <w:p>
      <w:pPr>
        <w:ind w:firstLine="480"/>
        <w:rPr>
          <w:rFonts w:cs="Times New Roman"/>
        </w:rPr>
      </w:pPr>
      <w:r>
        <w:rPr>
          <w:rFonts w:cs="Times New Roman"/>
        </w:rPr>
        <w:t>根据现场调查</w:t>
      </w:r>
      <w:r>
        <w:rPr>
          <w:rFonts w:hint="eastAsia" w:cs="Times New Roman"/>
        </w:rPr>
        <w:t>，</w:t>
      </w:r>
      <w:r>
        <w:rPr>
          <w:rFonts w:cs="Times New Roman"/>
          <w:highlight w:val="none"/>
        </w:rPr>
        <w:t>本项目建设和运营涉及</w:t>
      </w:r>
      <w:r>
        <w:rPr>
          <w:rFonts w:hint="eastAsia" w:cs="Times New Roman"/>
          <w:highlight w:val="none"/>
          <w:lang w:val="en-US" w:eastAsia="zh-CN"/>
        </w:rPr>
        <w:t>河流</w:t>
      </w:r>
      <w:r>
        <w:rPr>
          <w:rFonts w:cs="Times New Roman"/>
          <w:highlight w:val="none"/>
        </w:rPr>
        <w:t>湿地</w:t>
      </w:r>
      <w:r>
        <w:rPr>
          <w:rFonts w:hint="eastAsia" w:cs="Times New Roman"/>
          <w:highlight w:val="none"/>
          <w:lang w:val="en-US" w:eastAsia="zh-CN"/>
        </w:rPr>
        <w:t>和沼泽</w:t>
      </w:r>
      <w:r>
        <w:rPr>
          <w:rFonts w:cs="Times New Roman"/>
          <w:highlight w:val="none"/>
        </w:rPr>
        <w:t>湿地景观</w:t>
      </w:r>
      <w:r>
        <w:rPr>
          <w:rFonts w:hint="eastAsia" w:cs="Times New Roman"/>
          <w:highlight w:val="none"/>
        </w:rPr>
        <w:t>，</w:t>
      </w:r>
      <w:r>
        <w:rPr>
          <w:rFonts w:cs="Times New Roman"/>
          <w:highlight w:val="none"/>
        </w:rPr>
        <w:t>占地面积很小</w:t>
      </w:r>
      <w:r>
        <w:rPr>
          <w:rFonts w:hint="eastAsia" w:cs="Times New Roman"/>
          <w:highlight w:val="none"/>
        </w:rPr>
        <w:t>，仅0.</w:t>
      </w:r>
      <w:r>
        <w:rPr>
          <w:rFonts w:hint="eastAsia" w:cs="Times New Roman"/>
          <w:highlight w:val="none"/>
          <w:lang w:val="en-US" w:eastAsia="zh-CN"/>
        </w:rPr>
        <w:t>46</w:t>
      </w:r>
      <w:r>
        <w:rPr>
          <w:rFonts w:cs="Times New Roman"/>
          <w:highlight w:val="none"/>
        </w:rPr>
        <w:t>hm</w:t>
      </w:r>
      <w:r>
        <w:rPr>
          <w:rFonts w:cs="Times New Roman"/>
          <w:highlight w:val="none"/>
          <w:vertAlign w:val="superscript"/>
        </w:rPr>
        <w:t>2</w:t>
      </w:r>
      <w:r>
        <w:rPr>
          <w:rFonts w:hint="eastAsia" w:cs="Times New Roman"/>
          <w:highlight w:val="none"/>
        </w:rPr>
        <w:t>，</w:t>
      </w:r>
      <w:r>
        <w:rPr>
          <w:rFonts w:cs="Times New Roman"/>
        </w:rPr>
        <w:t>对评价区内湿地景观多样性的影响较小。</w:t>
      </w:r>
    </w:p>
    <w:p>
      <w:pPr>
        <w:pStyle w:val="5"/>
        <w:numPr>
          <w:ilvl w:val="2"/>
          <w:numId w:val="0"/>
        </w:numPr>
        <w:ind w:leftChars="0"/>
        <w:rPr>
          <w:rFonts w:cs="Times New Roman"/>
        </w:rPr>
      </w:pPr>
      <w:r>
        <w:rPr>
          <w:rFonts w:hint="eastAsia" w:cs="Times New Roman"/>
          <w:lang w:val="en-US" w:eastAsia="zh-CN"/>
        </w:rPr>
        <w:t xml:space="preserve">5.2.3 </w:t>
      </w:r>
      <w:r>
        <w:rPr>
          <w:rFonts w:cs="Times New Roman"/>
        </w:rPr>
        <w:t>对湿地景观稳定性的影响预测</w:t>
      </w:r>
    </w:p>
    <w:p>
      <w:pPr>
        <w:ind w:firstLine="480"/>
        <w:rPr>
          <w:rFonts w:cs="Times New Roman"/>
        </w:rPr>
      </w:pPr>
      <w:r>
        <w:rPr>
          <w:rFonts w:cs="Times New Roman"/>
        </w:rPr>
        <w:t>对湿地景观的稳定性评价，主要考虑评价区内湿地景观是否能够抵抗项目建设带来的各项影响，项目建设完工后是否能够通过自身调控能力逐步恢复，特别是评价区内各种湿地景观的水源、水流流向和水质等方面。</w:t>
      </w:r>
    </w:p>
    <w:p>
      <w:pPr>
        <w:ind w:firstLine="480"/>
        <w:rPr>
          <w:rFonts w:cs="Times New Roman"/>
        </w:rPr>
      </w:pPr>
      <w:r>
        <w:rPr>
          <w:rFonts w:cs="Times New Roman"/>
        </w:rPr>
        <w:t>施工期</w:t>
      </w:r>
      <w:r>
        <w:rPr>
          <w:rFonts w:hint="eastAsia" w:cs="Times New Roman"/>
        </w:rPr>
        <w:t>，</w:t>
      </w:r>
      <w:r>
        <w:rPr>
          <w:rFonts w:cs="Times New Roman"/>
        </w:rPr>
        <w:t>项目在湿地公园边缘走线</w:t>
      </w:r>
      <w:r>
        <w:rPr>
          <w:rFonts w:hint="eastAsia" w:cs="Times New Roman"/>
        </w:rPr>
        <w:t>，</w:t>
      </w:r>
      <w:r>
        <w:rPr>
          <w:rFonts w:cs="Times New Roman"/>
        </w:rPr>
        <w:t>小面积的路基和边坡</w:t>
      </w:r>
      <w:r>
        <w:rPr>
          <w:rFonts w:cs="Times New Roman"/>
          <w:highlight w:val="none"/>
        </w:rPr>
        <w:t>侵占湿地</w:t>
      </w:r>
      <w:r>
        <w:rPr>
          <w:rFonts w:hint="eastAsia" w:cs="Times New Roman"/>
        </w:rPr>
        <w:t>，实地调查占地区域为湿地边缘区域，基本为河岸陆地区</w:t>
      </w:r>
      <w:r>
        <w:rPr>
          <w:rFonts w:hint="eastAsia" w:cs="Times New Roman"/>
          <w:lang w:val="en-US" w:eastAsia="zh-CN"/>
        </w:rPr>
        <w:t>和草地</w:t>
      </w:r>
      <w:r>
        <w:rPr>
          <w:rFonts w:hint="eastAsia" w:cs="Times New Roman"/>
        </w:rPr>
        <w:t>。</w:t>
      </w:r>
      <w:r>
        <w:rPr>
          <w:rFonts w:cs="Times New Roman"/>
        </w:rPr>
        <w:t>项目不截流、不引水，因此对评价区内</w:t>
      </w:r>
      <w:r>
        <w:rPr>
          <w:rFonts w:hint="eastAsia" w:cs="Times New Roman"/>
        </w:rPr>
        <w:t>龙尕曲</w:t>
      </w:r>
      <w:r>
        <w:rPr>
          <w:rFonts w:cs="Times New Roman"/>
        </w:rPr>
        <w:t>水源、水流流向无影响。</w:t>
      </w:r>
    </w:p>
    <w:p>
      <w:pPr>
        <w:ind w:firstLine="480"/>
        <w:rPr>
          <w:rFonts w:cs="Times New Roman"/>
        </w:rPr>
      </w:pPr>
      <w:r>
        <w:rPr>
          <w:rFonts w:hint="eastAsia" w:cs="Times New Roman"/>
        </w:rPr>
        <w:t>工程建设完成后，评价区内湿地景观资源的水源和水量可以得到保持，仍然可以维持原有的生产力水平和自身调节能力；然而，工程施工阶段如果管理不善或施工方式等原因，可能会对评价区内</w:t>
      </w:r>
      <w:r>
        <w:rPr>
          <w:rFonts w:hint="eastAsia" w:cs="Times New Roman"/>
          <w:lang w:val="en-US" w:eastAsia="zh-CN"/>
        </w:rPr>
        <w:t>河流</w:t>
      </w:r>
      <w:r>
        <w:rPr>
          <w:rFonts w:hint="eastAsia" w:cs="Times New Roman"/>
        </w:rPr>
        <w:t>的水质产生一定影响，但这种影响是短期的，随着施工结束以及各方面保护恢复措施的采取，其水质基本可以得到恢复。</w:t>
      </w:r>
    </w:p>
    <w:p>
      <w:pPr>
        <w:ind w:firstLine="480"/>
        <w:rPr>
          <w:rFonts w:cs="Times New Roman"/>
        </w:rPr>
      </w:pPr>
      <w:r>
        <w:rPr>
          <w:rFonts w:cs="Times New Roman"/>
        </w:rPr>
        <w:t>因此，本项目建设和运营对评价区湿地景观资源的稳定性影响很小，不会导致评价区生态失衡。</w:t>
      </w:r>
    </w:p>
    <w:p>
      <w:pPr>
        <w:pStyle w:val="3"/>
        <w:numPr>
          <w:ilvl w:val="1"/>
          <w:numId w:val="0"/>
        </w:numPr>
        <w:ind w:leftChars="0"/>
        <w:rPr>
          <w:rFonts w:cs="Times New Roman"/>
        </w:rPr>
      </w:pPr>
      <w:bookmarkStart w:id="31" w:name="_Toc29006"/>
      <w:r>
        <w:rPr>
          <w:rFonts w:hint="eastAsia" w:cs="Times New Roman"/>
          <w:lang w:val="en-US" w:eastAsia="zh-CN"/>
        </w:rPr>
        <w:t xml:space="preserve">5.3 </w:t>
      </w:r>
      <w:r>
        <w:rPr>
          <w:rFonts w:cs="Times New Roman"/>
        </w:rPr>
        <w:t>建设项目对湿地保护与可持续利用的影响预测</w:t>
      </w:r>
      <w:bookmarkEnd w:id="31"/>
    </w:p>
    <w:p>
      <w:pPr>
        <w:ind w:firstLine="480"/>
        <w:rPr>
          <w:rFonts w:cs="Times New Roman"/>
          <w:highlight w:val="none"/>
        </w:rPr>
      </w:pPr>
      <w:r>
        <w:rPr>
          <w:rFonts w:cs="Times New Roman"/>
        </w:rPr>
        <w:t>本项目在湿地公园内的建设项目</w:t>
      </w:r>
      <w:r>
        <w:rPr>
          <w:rFonts w:cs="Times New Roman"/>
          <w:highlight w:val="none"/>
        </w:rPr>
        <w:t>仅在施工期对湿地带来扰动、不涉及永久河流湿地</w:t>
      </w:r>
      <w:r>
        <w:rPr>
          <w:rFonts w:hint="eastAsia" w:cs="Times New Roman"/>
          <w:highlight w:val="none"/>
        </w:rPr>
        <w:t>，</w:t>
      </w:r>
      <w:r>
        <w:rPr>
          <w:rFonts w:cs="Times New Roman"/>
          <w:highlight w:val="none"/>
        </w:rPr>
        <w:t>基本不会对水质带来不利影响</w:t>
      </w:r>
      <w:r>
        <w:rPr>
          <w:rFonts w:hint="eastAsia" w:cs="Times New Roman"/>
          <w:highlight w:val="none"/>
        </w:rPr>
        <w:t>；</w:t>
      </w:r>
      <w:r>
        <w:rPr>
          <w:rFonts w:cs="Times New Roman"/>
          <w:highlight w:val="none"/>
        </w:rPr>
        <w:t>施工结束后项目运行不再对湿地产生明显不利影响，总体而言对整个评价区湿地保护影响微弱。</w:t>
      </w:r>
    </w:p>
    <w:p>
      <w:pPr>
        <w:ind w:firstLine="480"/>
        <w:jc w:val="left"/>
        <w:rPr>
          <w:rFonts w:cs="Times New Roman"/>
        </w:rPr>
      </w:pPr>
      <w:r>
        <w:rPr>
          <w:rFonts w:cs="Times New Roman"/>
          <w:highlight w:val="none"/>
        </w:rPr>
        <w:t>本项目修建完成</w:t>
      </w:r>
      <w:r>
        <w:rPr>
          <w:rFonts w:hint="eastAsia" w:cs="Times New Roman"/>
          <w:highlight w:val="none"/>
          <w:lang w:val="en-US" w:eastAsia="zh-CN"/>
        </w:rPr>
        <w:t>后</w:t>
      </w:r>
      <w:r>
        <w:rPr>
          <w:rFonts w:cs="Times New Roman"/>
          <w:highlight w:val="none"/>
        </w:rPr>
        <w:t>，路况大大改善</w:t>
      </w:r>
      <w:r>
        <w:rPr>
          <w:rFonts w:hint="eastAsia" w:cs="Times New Roman"/>
          <w:highlight w:val="none"/>
        </w:rPr>
        <w:t>，</w:t>
      </w:r>
      <w:r>
        <w:rPr>
          <w:rFonts w:cs="Times New Roman"/>
          <w:highlight w:val="none"/>
        </w:rPr>
        <w:t>湿地公园</w:t>
      </w:r>
      <w:r>
        <w:rPr>
          <w:rFonts w:cs="Times New Roman"/>
        </w:rPr>
        <w:t>的通达性大大提高，对于湿地公园的进一步建设和发展有利，游客数量的日益上升在带动经济增长的同时，将让周边社区享受到湿地保护带来的利好，从而积极维护湿地公园的保护和建设，对于湿地可持续利用总体是有利的。</w:t>
      </w:r>
    </w:p>
    <w:p>
      <w:pPr>
        <w:pStyle w:val="3"/>
        <w:numPr>
          <w:ilvl w:val="1"/>
          <w:numId w:val="0"/>
        </w:numPr>
        <w:ind w:leftChars="0"/>
        <w:rPr>
          <w:rFonts w:cs="Times New Roman"/>
        </w:rPr>
      </w:pPr>
      <w:bookmarkStart w:id="32" w:name="_Toc14886"/>
      <w:r>
        <w:rPr>
          <w:rFonts w:hint="eastAsia" w:cs="Times New Roman"/>
          <w:lang w:val="en-US" w:eastAsia="zh-CN"/>
        </w:rPr>
        <w:t xml:space="preserve">5.4 </w:t>
      </w:r>
      <w:r>
        <w:rPr>
          <w:rFonts w:cs="Times New Roman"/>
        </w:rPr>
        <w:t>建设项目对湿地功能效益的影响预测</w:t>
      </w:r>
      <w:bookmarkEnd w:id="32"/>
    </w:p>
    <w:p>
      <w:pPr>
        <w:pStyle w:val="5"/>
        <w:numPr>
          <w:ilvl w:val="2"/>
          <w:numId w:val="0"/>
        </w:numPr>
        <w:ind w:leftChars="0"/>
        <w:rPr>
          <w:rFonts w:cs="Times New Roman"/>
        </w:rPr>
      </w:pPr>
      <w:r>
        <w:rPr>
          <w:rFonts w:hint="eastAsia" w:cs="Times New Roman"/>
          <w:lang w:val="en-US" w:eastAsia="zh-CN"/>
        </w:rPr>
        <w:t xml:space="preserve">5.4.1 </w:t>
      </w:r>
      <w:r>
        <w:rPr>
          <w:rFonts w:cs="Times New Roman"/>
        </w:rPr>
        <w:t>对生态功能效益的影响</w:t>
      </w:r>
    </w:p>
    <w:p>
      <w:pPr>
        <w:ind w:firstLine="480"/>
        <w:rPr>
          <w:rFonts w:cs="Times New Roman"/>
        </w:rPr>
      </w:pPr>
      <w:r>
        <w:rPr>
          <w:rFonts w:cs="Times New Roman"/>
        </w:rPr>
        <w:t>施工期的噪音及人类活动对评价区内的野生动物活动产生直接干扰，噪音是最主要的干扰源，将导致湿地鸟类和迁徙鸟类等向</w:t>
      </w:r>
      <w:r>
        <w:rPr>
          <w:rFonts w:hint="eastAsia" w:cs="Times New Roman"/>
        </w:rPr>
        <w:t>龙尕曲</w:t>
      </w:r>
      <w:r>
        <w:rPr>
          <w:rFonts w:cs="Times New Roman"/>
        </w:rPr>
        <w:t>上游或下游适宜生境迁移，减少在评价区临近公路线路区域的活动频率以躲避干扰。</w:t>
      </w:r>
    </w:p>
    <w:p>
      <w:pPr>
        <w:ind w:firstLine="480"/>
        <w:rPr>
          <w:rFonts w:cs="Times New Roman"/>
        </w:rPr>
      </w:pPr>
      <w:r>
        <w:rPr>
          <w:rFonts w:hint="eastAsia" w:cs="Times New Roman"/>
        </w:rPr>
        <w:t>运营期，对湿地公园的扰动主要为噪声干扰。由于项目是在原路的基础上改建升级，原路对湿地公园动物的噪声干扰一直存在，公路沿线活动的动物早已适应。因此项目的运营不会大大增加动物的不适，对</w:t>
      </w:r>
      <w:r>
        <w:rPr>
          <w:rFonts w:cs="Times New Roman"/>
        </w:rPr>
        <w:t>湿地的调节水源、净化水质、维持生物多样性等基本生态功能基本没有影响</w:t>
      </w:r>
      <w:r>
        <w:rPr>
          <w:rFonts w:hint="eastAsia" w:cs="Times New Roman"/>
        </w:rPr>
        <w:t>。</w:t>
      </w:r>
    </w:p>
    <w:p>
      <w:pPr>
        <w:ind w:firstLine="480"/>
        <w:rPr>
          <w:rFonts w:cs="Times New Roman"/>
        </w:rPr>
      </w:pPr>
      <w:r>
        <w:rPr>
          <w:rFonts w:hint="eastAsia" w:cs="Times New Roman"/>
        </w:rPr>
        <w:t>总体来看，项目施工和运营对湿地公园的生态功能效益的影响较小。</w:t>
      </w:r>
    </w:p>
    <w:p>
      <w:pPr>
        <w:pStyle w:val="5"/>
        <w:numPr>
          <w:ilvl w:val="2"/>
          <w:numId w:val="0"/>
        </w:numPr>
        <w:ind w:leftChars="0"/>
        <w:rPr>
          <w:rFonts w:cs="Times New Roman"/>
        </w:rPr>
      </w:pPr>
      <w:r>
        <w:rPr>
          <w:rFonts w:hint="eastAsia" w:cs="Times New Roman"/>
          <w:lang w:val="en-US" w:eastAsia="zh-CN"/>
        </w:rPr>
        <w:t xml:space="preserve">5.4.2 </w:t>
      </w:r>
      <w:r>
        <w:rPr>
          <w:rFonts w:cs="Times New Roman"/>
        </w:rPr>
        <w:t>对社会效益的影响</w:t>
      </w:r>
    </w:p>
    <w:p>
      <w:pPr>
        <w:ind w:firstLine="480"/>
        <w:rPr>
          <w:rFonts w:cs="Times New Roman"/>
        </w:rPr>
      </w:pPr>
      <w:r>
        <w:rPr>
          <w:rFonts w:cs="Times New Roman"/>
        </w:rPr>
        <w:t>本项目的建设有利于湿地公园与外部的互联互通，有明显的社会正效益。因为湿地公园的成立，该</w:t>
      </w:r>
      <w:r>
        <w:rPr>
          <w:rFonts w:hint="eastAsia" w:cs="Times New Roman"/>
        </w:rPr>
        <w:t>龙尕曲</w:t>
      </w:r>
      <w:r>
        <w:rPr>
          <w:rFonts w:cs="Times New Roman"/>
        </w:rPr>
        <w:t>河段湿地的价值逐渐被外界知晓，通过新闻媒体和互联网的传播，有更多的研究者和旅游者想来到这片湿地进行课题研究和生态旅游观光，本道路的建成将大大提升湖泊湿地各区域之间的连通性以及交通流量，湿地公园可以以此为契机，加强宣传和宣教工作，让越来越多的人认识和了解这片湿地，</w:t>
      </w:r>
      <w:r>
        <w:rPr>
          <w:rFonts w:hint="eastAsia" w:cs="Times New Roman"/>
        </w:rPr>
        <w:t>公</w:t>
      </w:r>
      <w:r>
        <w:rPr>
          <w:rFonts w:cs="Times New Roman"/>
        </w:rPr>
        <w:t>路</w:t>
      </w:r>
      <w:r>
        <w:rPr>
          <w:rFonts w:hint="eastAsia" w:cs="Times New Roman"/>
          <w:lang w:val="en-US" w:eastAsia="zh-CN"/>
        </w:rPr>
        <w:t>迎来</w:t>
      </w:r>
      <w:r>
        <w:rPr>
          <w:rFonts w:cs="Times New Roman"/>
        </w:rPr>
        <w:t>更多的</w:t>
      </w:r>
      <w:r>
        <w:rPr>
          <w:rFonts w:hint="eastAsia" w:cs="Times New Roman"/>
          <w:lang w:val="en-US" w:eastAsia="zh-CN"/>
        </w:rPr>
        <w:t>游客打卡</w:t>
      </w:r>
      <w:r>
        <w:rPr>
          <w:rFonts w:cs="Times New Roman"/>
        </w:rPr>
        <w:t>，</w:t>
      </w:r>
      <w:r>
        <w:rPr>
          <w:rFonts w:hint="eastAsia" w:cs="Times New Roman"/>
          <w:lang w:val="en-US" w:eastAsia="zh-CN"/>
        </w:rPr>
        <w:t>这对</w:t>
      </w:r>
      <w:r>
        <w:rPr>
          <w:rFonts w:cs="Times New Roman"/>
        </w:rPr>
        <w:t>湿地公园的保护和发展、湿地宣教产生促进作用。同时项目建设方便湿地公园及</w:t>
      </w:r>
      <w:r>
        <w:rPr>
          <w:rFonts w:hint="eastAsia" w:cs="Times New Roman"/>
          <w:lang w:val="en-US" w:eastAsia="zh-CN"/>
        </w:rPr>
        <w:t>阿坝</w:t>
      </w:r>
      <w:r>
        <w:rPr>
          <w:rFonts w:cs="Times New Roman"/>
        </w:rPr>
        <w:t>县与周边区域的交流和联系，带来良好社会效益。</w:t>
      </w:r>
    </w:p>
    <w:p>
      <w:pPr>
        <w:pStyle w:val="5"/>
        <w:numPr>
          <w:ilvl w:val="2"/>
          <w:numId w:val="0"/>
        </w:numPr>
        <w:ind w:leftChars="0"/>
        <w:rPr>
          <w:rFonts w:cs="Times New Roman"/>
        </w:rPr>
      </w:pPr>
      <w:r>
        <w:rPr>
          <w:rFonts w:hint="eastAsia" w:cs="Times New Roman"/>
          <w:lang w:val="en-US" w:eastAsia="zh-CN"/>
        </w:rPr>
        <w:t>5.4.3</w:t>
      </w:r>
      <w:r>
        <w:rPr>
          <w:rFonts w:cs="Times New Roman"/>
        </w:rPr>
        <w:t>对经济效益的影响</w:t>
      </w:r>
    </w:p>
    <w:p>
      <w:pPr>
        <w:ind w:firstLine="480"/>
        <w:rPr>
          <w:rFonts w:cs="Times New Roman"/>
        </w:rPr>
      </w:pPr>
      <w:r>
        <w:rPr>
          <w:rFonts w:cs="Times New Roman"/>
        </w:rPr>
        <w:t>项目的建成提升了湿地公园的通达性</w:t>
      </w:r>
      <w:r>
        <w:rPr>
          <w:rFonts w:hint="eastAsia" w:cs="Times New Roman"/>
        </w:rPr>
        <w:t>，</w:t>
      </w:r>
      <w:r>
        <w:rPr>
          <w:rFonts w:cs="Times New Roman"/>
        </w:rPr>
        <w:t>吸引更多的游客前来观赏旅游</w:t>
      </w:r>
      <w:r>
        <w:rPr>
          <w:rFonts w:hint="eastAsia" w:cs="Times New Roman"/>
        </w:rPr>
        <w:t>。</w:t>
      </w:r>
      <w:r>
        <w:rPr>
          <w:rFonts w:cs="Times New Roman"/>
        </w:rPr>
        <w:t>不断增多的游客数量和需求可促使居民在湿地公园周边进行各类经营活动，即满足了外来游客的需求，也提高了自身的经济收入，湿地公园和社区关系更加和谐。</w:t>
      </w:r>
    </w:p>
    <w:p>
      <w:pPr>
        <w:ind w:firstLine="480"/>
        <w:rPr>
          <w:rFonts w:cs="Times New Roman"/>
        </w:rPr>
      </w:pPr>
      <w:r>
        <w:rPr>
          <w:rFonts w:cs="Times New Roman"/>
        </w:rPr>
        <w:t>湿地公园所在区域是我国</w:t>
      </w:r>
      <w:r>
        <w:rPr>
          <w:rFonts w:cs="Times New Roman"/>
          <w:highlight w:val="none"/>
        </w:rPr>
        <w:t>藏族聚居的主要区域之一</w:t>
      </w:r>
      <w:r>
        <w:rPr>
          <w:rFonts w:hint="eastAsia" w:cs="Times New Roman"/>
        </w:rPr>
        <w:t>，</w:t>
      </w:r>
      <w:r>
        <w:rPr>
          <w:rFonts w:cs="Times New Roman"/>
        </w:rPr>
        <w:t>经济较为落后</w:t>
      </w:r>
      <w:r>
        <w:rPr>
          <w:rFonts w:hint="eastAsia" w:cs="Times New Roman"/>
        </w:rPr>
        <w:t>。</w:t>
      </w:r>
      <w:r>
        <w:rPr>
          <w:rFonts w:cs="Times New Roman"/>
        </w:rPr>
        <w:t>湿地公园不仅能将生态旅游资源转化为经济收益，还</w:t>
      </w:r>
      <w:r>
        <w:rPr>
          <w:rFonts w:hint="eastAsia" w:cs="Times New Roman"/>
          <w:lang w:val="en-US" w:eastAsia="zh-CN"/>
        </w:rPr>
        <w:t>能</w:t>
      </w:r>
      <w:r>
        <w:rPr>
          <w:rFonts w:cs="Times New Roman"/>
        </w:rPr>
        <w:t>为社区群众提供大量的就业机会，优化农村产业结构，提高群众生活水平，具有较高的经济效益。</w:t>
      </w:r>
    </w:p>
    <w:p>
      <w:pPr>
        <w:widowControl/>
        <w:spacing w:line="240" w:lineRule="auto"/>
        <w:ind w:firstLine="0" w:firstLineChars="0"/>
        <w:jc w:val="left"/>
        <w:rPr>
          <w:rFonts w:cs="Times New Roman"/>
        </w:rPr>
      </w:pPr>
      <w:r>
        <w:rPr>
          <w:rFonts w:cs="Times New Roman"/>
        </w:rPr>
        <w:br w:type="page"/>
      </w:r>
    </w:p>
    <w:p>
      <w:pPr>
        <w:pStyle w:val="2"/>
        <w:numPr>
          <w:ilvl w:val="0"/>
          <w:numId w:val="0"/>
        </w:numPr>
        <w:ind w:leftChars="0"/>
        <w:rPr>
          <w:rFonts w:cs="Times New Roman"/>
        </w:rPr>
      </w:pPr>
      <w:bookmarkStart w:id="33" w:name="_Toc24922"/>
      <w:r>
        <w:rPr>
          <w:rFonts w:hint="eastAsia" w:cs="Times New Roman"/>
          <w:lang w:val="en-US" w:eastAsia="zh-CN"/>
        </w:rPr>
        <w:t xml:space="preserve">6 </w:t>
      </w:r>
      <w:r>
        <w:rPr>
          <w:rFonts w:cs="Times New Roman"/>
        </w:rPr>
        <w:t>生态影响消减措施建议</w:t>
      </w:r>
      <w:bookmarkEnd w:id="33"/>
    </w:p>
    <w:p>
      <w:pPr>
        <w:pStyle w:val="3"/>
        <w:numPr>
          <w:ilvl w:val="1"/>
          <w:numId w:val="0"/>
        </w:numPr>
        <w:ind w:leftChars="0"/>
        <w:rPr>
          <w:rFonts w:cs="Times New Roman"/>
        </w:rPr>
      </w:pPr>
      <w:bookmarkStart w:id="34" w:name="_Toc9463"/>
      <w:r>
        <w:rPr>
          <w:rFonts w:hint="eastAsia" w:cs="Times New Roman"/>
          <w:lang w:val="en-US" w:eastAsia="zh-CN"/>
        </w:rPr>
        <w:t xml:space="preserve">6.1 </w:t>
      </w:r>
      <w:r>
        <w:rPr>
          <w:rFonts w:cs="Times New Roman"/>
        </w:rPr>
        <w:t>生态环境保护减缓措施</w:t>
      </w:r>
      <w:bookmarkEnd w:id="34"/>
    </w:p>
    <w:p>
      <w:pPr>
        <w:pStyle w:val="5"/>
        <w:numPr>
          <w:ilvl w:val="2"/>
          <w:numId w:val="0"/>
        </w:numPr>
        <w:ind w:leftChars="0"/>
        <w:rPr>
          <w:rFonts w:cs="Times New Roman"/>
        </w:rPr>
      </w:pPr>
      <w:r>
        <w:rPr>
          <w:rFonts w:hint="eastAsia" w:cs="Times New Roman"/>
          <w:lang w:val="en-US" w:eastAsia="zh-CN"/>
        </w:rPr>
        <w:t xml:space="preserve">6.1.1 </w:t>
      </w:r>
      <w:r>
        <w:rPr>
          <w:rFonts w:cs="Times New Roman"/>
        </w:rPr>
        <w:t>非生物因子保护减缓措施</w:t>
      </w:r>
    </w:p>
    <w:p>
      <w:pPr>
        <w:pStyle w:val="6"/>
        <w:numPr>
          <w:ilvl w:val="3"/>
          <w:numId w:val="0"/>
        </w:numPr>
        <w:ind w:leftChars="0"/>
      </w:pPr>
      <w:r>
        <w:rPr>
          <w:rFonts w:hint="eastAsia"/>
          <w:lang w:val="en-US" w:eastAsia="zh-CN"/>
        </w:rPr>
        <w:t xml:space="preserve">6.1.1.1 </w:t>
      </w:r>
      <w:r>
        <w:t>空气环境影响防治措施</w:t>
      </w:r>
    </w:p>
    <w:p>
      <w:pPr>
        <w:ind w:firstLine="482"/>
        <w:rPr>
          <w:rFonts w:cs="Times New Roman"/>
          <w:b/>
        </w:rPr>
      </w:pPr>
      <w:r>
        <w:rPr>
          <w:rFonts w:cs="Times New Roman"/>
          <w:b/>
        </w:rPr>
        <w:t>施工期：</w:t>
      </w:r>
    </w:p>
    <w:p>
      <w:pPr>
        <w:ind w:firstLine="482"/>
        <w:rPr>
          <w:rFonts w:cs="Times New Roman"/>
        </w:rPr>
      </w:pPr>
      <w:r>
        <w:rPr>
          <w:rFonts w:cs="Times New Roman"/>
        </w:rPr>
        <w:t>（1）施工机械造成污染的消减对策与措施</w:t>
      </w:r>
    </w:p>
    <w:p>
      <w:pPr>
        <w:ind w:firstLine="482"/>
        <w:rPr>
          <w:rFonts w:cs="Times New Roman"/>
        </w:rPr>
      </w:pPr>
      <w:r>
        <w:rPr>
          <w:rFonts w:cs="Times New Roman"/>
        </w:rPr>
        <w:t>各种燃油施工机械和运输车辆在施工及运输过程中均排放一定数量的废气，主要污染物以NOx、SO</w:t>
      </w:r>
      <w:r>
        <w:rPr>
          <w:rFonts w:cs="Times New Roman"/>
          <w:vertAlign w:val="subscript"/>
        </w:rPr>
        <w:t>2</w:t>
      </w:r>
      <w:r>
        <w:rPr>
          <w:rFonts w:cs="Times New Roman"/>
        </w:rPr>
        <w:t>和烃类为主。由于本项目使用燃油施工机械较少，且属间断性无组织排放，排放量小，加之施工场地开阔，扩散条件良好，环境空气质量受施工机具尾气影响亦较小。在施工期内应多加注意施工设备的维护，使其能够正常的运行，提高设备原料的利用率。</w:t>
      </w:r>
    </w:p>
    <w:p>
      <w:pPr>
        <w:ind w:firstLine="482"/>
        <w:rPr>
          <w:rFonts w:cs="Times New Roman"/>
        </w:rPr>
      </w:pPr>
      <w:r>
        <w:rPr>
          <w:rFonts w:cs="Times New Roman"/>
        </w:rPr>
        <w:t>（2）扬尘、粉尘污染的消减对策与措施</w:t>
      </w:r>
    </w:p>
    <w:p>
      <w:pPr>
        <w:ind w:firstLine="482"/>
        <w:rPr>
          <w:rFonts w:cs="Times New Roman"/>
        </w:rPr>
      </w:pPr>
      <w:r>
        <w:rPr>
          <w:rFonts w:hint="eastAsia" w:cs="Times New Roman"/>
          <w:lang w:eastAsia="zh-CN"/>
        </w:rPr>
        <w:t>①</w:t>
      </w:r>
      <w:r>
        <w:rPr>
          <w:rFonts w:cs="Times New Roman"/>
        </w:rPr>
        <w:t xml:space="preserve">施工现场架设施工围墙，封闭施工现场，采用密目安全网，以减少结构和装修过程中的粉尘飞扬现象，降低粉尘向大气中的排放；脚手架在拆除前，先将脚手板上的垃圾清理干净，清理时应避免扬尘。 </w:t>
      </w:r>
    </w:p>
    <w:p>
      <w:pPr>
        <w:ind w:firstLine="482"/>
        <w:rPr>
          <w:rFonts w:cs="Times New Roman"/>
        </w:rPr>
      </w:pPr>
      <w:r>
        <w:rPr>
          <w:rFonts w:hint="eastAsia" w:cs="Times New Roman"/>
          <w:lang w:eastAsia="zh-CN"/>
        </w:rPr>
        <w:t>②</w:t>
      </w:r>
      <w:r>
        <w:rPr>
          <w:rFonts w:cs="Times New Roman"/>
        </w:rPr>
        <w:t xml:space="preserve">文明施工，定期对地面洒水，并对撒落在路面的渣土及时清除，清理阶段做到先洒水后清扫，避免产生扬尘，施工期间的料堆、土堆等应加强防起尘措施，对堆存的砂粉等建筑材料采取遮盖措施。 </w:t>
      </w:r>
    </w:p>
    <w:p>
      <w:pPr>
        <w:ind w:firstLine="482"/>
        <w:rPr>
          <w:rFonts w:cs="Times New Roman"/>
        </w:rPr>
      </w:pPr>
      <w:r>
        <w:rPr>
          <w:rFonts w:hint="eastAsia" w:cs="Times New Roman"/>
          <w:lang w:eastAsia="zh-CN"/>
        </w:rPr>
        <w:t>③</w:t>
      </w:r>
      <w:r>
        <w:rPr>
          <w:rFonts w:cs="Times New Roman"/>
        </w:rPr>
        <w:t xml:space="preserve">施工车辆进出施工场地必须实施限速行驶，同时施工现场主要运输道路采用硬化路面并进行洒水抑尘；在施工场地出口放置防尘垫和运输车辆冲洗设施及配套的地面排水沟、隔油池、沉淀池。 </w:t>
      </w:r>
    </w:p>
    <w:p>
      <w:pPr>
        <w:ind w:firstLine="482"/>
        <w:rPr>
          <w:rFonts w:cs="Times New Roman"/>
        </w:rPr>
      </w:pPr>
      <w:r>
        <w:rPr>
          <w:rFonts w:hint="eastAsia" w:cs="Times New Roman"/>
          <w:lang w:eastAsia="zh-CN"/>
        </w:rPr>
        <w:t>④</w:t>
      </w:r>
      <w:r>
        <w:rPr>
          <w:rFonts w:cs="Times New Roman"/>
        </w:rPr>
        <w:t>装运土方时控制车内土方低于车厢挡板，禁止超载，减少途中撒落，对施工现场抛洒的砂石、水泥等物料应及时清扫，砂石堆、施工道路应定时洒水抑尘。</w:t>
      </w:r>
    </w:p>
    <w:p>
      <w:pPr>
        <w:ind w:firstLine="482"/>
        <w:rPr>
          <w:rFonts w:cs="Times New Roman"/>
        </w:rPr>
      </w:pPr>
      <w:r>
        <w:rPr>
          <w:rFonts w:hint="eastAsia" w:cs="Times New Roman"/>
          <w:lang w:eastAsia="zh-CN"/>
        </w:rPr>
        <w:t>⑤</w:t>
      </w:r>
      <w:r>
        <w:rPr>
          <w:rFonts w:cs="Times New Roman"/>
        </w:rPr>
        <w:t>禁止在风天进行渣土堆放作业，风速四级以上时应停止施工。建材堆放地点要相对集中，建筑垃圾和废弃土石方应及时清运，并对堆场以防尘布覆盖，禁止露天堆放。</w:t>
      </w:r>
    </w:p>
    <w:p>
      <w:pPr>
        <w:ind w:firstLine="482"/>
        <w:rPr>
          <w:rFonts w:cs="Times New Roman"/>
        </w:rPr>
      </w:pPr>
      <w:r>
        <w:rPr>
          <w:rFonts w:cs="Times New Roman"/>
          <w:b/>
        </w:rPr>
        <w:t>运营期</w:t>
      </w:r>
      <w:r>
        <w:rPr>
          <w:rFonts w:cs="Times New Roman"/>
        </w:rPr>
        <w:t>：</w:t>
      </w:r>
    </w:p>
    <w:p>
      <w:pPr>
        <w:ind w:firstLine="482"/>
        <w:rPr>
          <w:rFonts w:cs="Times New Roman"/>
        </w:rPr>
      </w:pPr>
      <w:r>
        <w:rPr>
          <w:rFonts w:hint="eastAsia" w:cs="Times New Roman"/>
        </w:rPr>
        <w:t>（1）</w:t>
      </w:r>
      <w:r>
        <w:rPr>
          <w:rFonts w:cs="Times New Roman"/>
        </w:rPr>
        <w:t>做好道路两侧植被恢复和绿化，减缓行车带来的扬尘和尾气对湿地公园的影响。</w:t>
      </w:r>
    </w:p>
    <w:p>
      <w:pPr>
        <w:pStyle w:val="186"/>
        <w:rPr>
          <w:rFonts w:ascii="Times New Roman" w:hAnsi="Times New Roman"/>
          <w:szCs w:val="22"/>
        </w:rPr>
      </w:pPr>
      <w:r>
        <w:rPr>
          <w:rFonts w:hint="eastAsia" w:ascii="Times New Roman" w:hAnsi="Times New Roman"/>
          <w:szCs w:val="22"/>
        </w:rPr>
        <w:t>（2）</w:t>
      </w:r>
      <w:r>
        <w:rPr>
          <w:rFonts w:ascii="Times New Roman" w:hAnsi="Times New Roman"/>
          <w:szCs w:val="22"/>
        </w:rPr>
        <w:t>执行汽车排放尾气检制，对汽车排放尾气状况进行抽查，限制尾气排放超标车辆上路；</w:t>
      </w:r>
    </w:p>
    <w:p>
      <w:pPr>
        <w:pStyle w:val="186"/>
        <w:rPr>
          <w:rFonts w:ascii="Times New Roman" w:hAnsi="Times New Roman"/>
          <w:szCs w:val="22"/>
        </w:rPr>
      </w:pPr>
      <w:r>
        <w:rPr>
          <w:rFonts w:hint="eastAsia" w:ascii="Times New Roman" w:hAnsi="Times New Roman"/>
          <w:szCs w:val="22"/>
        </w:rPr>
        <w:t>（3）</w:t>
      </w:r>
      <w:r>
        <w:rPr>
          <w:rFonts w:ascii="Times New Roman" w:hAnsi="Times New Roman"/>
          <w:szCs w:val="22"/>
        </w:rPr>
        <w:t>加大环境管理力度，公路管理部门设环境管理机构，委托环保部门定期在监测点进行环境空气监测。</w:t>
      </w:r>
    </w:p>
    <w:p>
      <w:pPr>
        <w:pStyle w:val="6"/>
        <w:numPr>
          <w:ilvl w:val="3"/>
          <w:numId w:val="0"/>
        </w:numPr>
        <w:ind w:leftChars="0"/>
      </w:pPr>
      <w:r>
        <w:rPr>
          <w:rFonts w:hint="eastAsia"/>
          <w:lang w:val="en-US" w:eastAsia="zh-CN"/>
        </w:rPr>
        <w:t xml:space="preserve">6.1.1.2 </w:t>
      </w:r>
      <w:r>
        <w:t>水环境影响防治措施</w:t>
      </w:r>
    </w:p>
    <w:p>
      <w:pPr>
        <w:ind w:firstLine="562"/>
        <w:rPr>
          <w:rFonts w:ascii="宋体" w:hAnsi="宋体" w:eastAsia="宋体" w:cs="Times New Roman"/>
          <w:b/>
          <w:kern w:val="2"/>
          <w:sz w:val="24"/>
          <w:szCs w:val="24"/>
          <w:lang w:val="en-US" w:eastAsia="zh-CN" w:bidi="ar-SA"/>
        </w:rPr>
      </w:pPr>
      <w:r>
        <w:rPr>
          <w:rFonts w:ascii="宋体" w:hAnsi="宋体" w:eastAsia="宋体" w:cs="Times New Roman"/>
          <w:b/>
          <w:kern w:val="2"/>
          <w:sz w:val="24"/>
          <w:szCs w:val="24"/>
          <w:lang w:val="en-US" w:eastAsia="zh-CN" w:bidi="ar-SA"/>
        </w:rPr>
        <w:t>施工期：</w:t>
      </w:r>
    </w:p>
    <w:p>
      <w:pPr>
        <w:ind w:firstLine="562"/>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val="en-US" w:eastAsia="zh-CN" w:bidi="ar-SA"/>
        </w:rPr>
        <w:t>工程建设产生的废水很少，对水环境的影响很小，主要做好以下措施：</w:t>
      </w:r>
    </w:p>
    <w:p>
      <w:pPr>
        <w:ind w:firstLine="562"/>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val="en-US" w:eastAsia="zh-CN" w:bidi="ar-SA"/>
        </w:rPr>
        <w:t>（1）任何人和机械不得无故进入水体；</w:t>
      </w:r>
    </w:p>
    <w:p>
      <w:pPr>
        <w:ind w:firstLine="560"/>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val="en-US" w:eastAsia="zh-CN" w:bidi="ar-SA"/>
        </w:rPr>
        <w:t>（2）采取切实的水土保持措施，防止渣土进入水体；</w:t>
      </w:r>
    </w:p>
    <w:p>
      <w:pPr>
        <w:ind w:firstLine="560"/>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val="en-US" w:eastAsia="zh-CN" w:bidi="ar-SA"/>
        </w:rPr>
        <w:t>（3）在雨季不施工，减少泥土进入周围的</w:t>
      </w:r>
      <w:r>
        <w:rPr>
          <w:rFonts w:hint="eastAsia" w:ascii="宋体" w:hAnsi="宋体" w:cs="Times New Roman"/>
          <w:kern w:val="2"/>
          <w:sz w:val="24"/>
          <w:szCs w:val="24"/>
          <w:lang w:val="en-US" w:eastAsia="zh-CN" w:bidi="ar-SA"/>
        </w:rPr>
        <w:t>水体</w:t>
      </w:r>
      <w:r>
        <w:rPr>
          <w:rFonts w:hint="eastAsia" w:ascii="宋体" w:hAnsi="宋体" w:eastAsia="宋体" w:cs="Times New Roman"/>
          <w:kern w:val="2"/>
          <w:sz w:val="24"/>
          <w:szCs w:val="24"/>
          <w:lang w:val="en-US" w:eastAsia="zh-CN" w:bidi="ar-SA"/>
        </w:rPr>
        <w:t>；</w:t>
      </w:r>
    </w:p>
    <w:p>
      <w:pPr>
        <w:ind w:firstLine="560"/>
        <w:rPr>
          <w:rFonts w:hint="eastAsia" w:ascii="宋体" w:hAnsi="宋体" w:eastAsia="宋体" w:cs="Times New Roman"/>
          <w:kern w:val="2"/>
          <w:sz w:val="24"/>
          <w:szCs w:val="24"/>
          <w:lang w:val="en-US" w:eastAsia="zh-CN" w:bidi="ar-SA"/>
        </w:rPr>
      </w:pPr>
      <w:r>
        <w:rPr>
          <w:rFonts w:hint="eastAsia" w:ascii="宋体" w:hAnsi="宋体" w:eastAsia="宋体" w:cs="Times New Roman"/>
          <w:kern w:val="2"/>
          <w:sz w:val="24"/>
          <w:szCs w:val="24"/>
          <w:lang w:val="en-US" w:eastAsia="zh-CN" w:bidi="ar-SA"/>
        </w:rPr>
        <w:t>（4）禁止在河道溪沟洗涤车辆，禁止建渣和生产废水直接排入河道。工程建设产生的废水量很少，应将施工废水全部回收于容器中运出湿地公园经过滤、净化处理达标后排放。</w:t>
      </w:r>
    </w:p>
    <w:p>
      <w:pPr>
        <w:pStyle w:val="186"/>
        <w:ind w:firstLine="482"/>
      </w:pPr>
      <w:r>
        <w:rPr>
          <w:b/>
        </w:rPr>
        <w:t>运营期</w:t>
      </w:r>
      <w:r>
        <w:t>：</w:t>
      </w:r>
    </w:p>
    <w:p>
      <w:pPr>
        <w:pStyle w:val="186"/>
        <w:ind w:firstLine="482"/>
        <w:rPr>
          <w:rFonts w:ascii="Times New Roman" w:hAnsi="Times New Roman"/>
        </w:rPr>
      </w:pPr>
      <w:r>
        <w:rPr>
          <w:rFonts w:hint="eastAsia"/>
        </w:rPr>
        <w:t>（1）</w:t>
      </w:r>
      <w:r>
        <w:rPr>
          <w:rFonts w:hint="eastAsia" w:ascii="Times New Roman" w:hAnsi="Times New Roman"/>
        </w:rPr>
        <w:t>公路靠近</w:t>
      </w:r>
      <w:r>
        <w:rPr>
          <w:rFonts w:ascii="Times New Roman" w:hAnsi="Times New Roman"/>
        </w:rPr>
        <w:t>湿地公园处</w:t>
      </w:r>
      <w:r>
        <w:rPr>
          <w:rFonts w:hint="eastAsia" w:ascii="Times New Roman" w:hAnsi="Times New Roman"/>
        </w:rPr>
        <w:t>的</w:t>
      </w:r>
      <w:r>
        <w:rPr>
          <w:rFonts w:ascii="Times New Roman" w:hAnsi="Times New Roman"/>
        </w:rPr>
        <w:t>醒目位置设置限速、禁止超车等警示标志，提醒过路驾驶员和乘客加强保护环境意识，要求危险品车辆限速通过；</w:t>
      </w:r>
    </w:p>
    <w:p>
      <w:pPr>
        <w:pStyle w:val="186"/>
        <w:rPr>
          <w:rFonts w:ascii="Times New Roman" w:hAnsi="Times New Roman"/>
        </w:rPr>
      </w:pPr>
      <w:r>
        <w:rPr>
          <w:rFonts w:hint="eastAsia" w:ascii="Times New Roman" w:hAnsi="Times New Roman"/>
        </w:rPr>
        <w:t>（2）</w:t>
      </w:r>
      <w:r>
        <w:rPr>
          <w:rFonts w:ascii="Times New Roman" w:hAnsi="Times New Roman"/>
        </w:rPr>
        <w:t>在沿线</w:t>
      </w:r>
      <w:r>
        <w:rPr>
          <w:rFonts w:hint="eastAsia" w:ascii="Times New Roman" w:hAnsi="Times New Roman"/>
        </w:rPr>
        <w:t>近</w:t>
      </w:r>
      <w:r>
        <w:rPr>
          <w:rFonts w:ascii="Times New Roman" w:hAnsi="Times New Roman"/>
        </w:rPr>
        <w:t>水路</w:t>
      </w:r>
      <w:r>
        <w:rPr>
          <w:rFonts w:hint="eastAsia" w:ascii="Times New Roman" w:hAnsi="Times New Roman"/>
        </w:rPr>
        <w:t>段</w:t>
      </w:r>
      <w:r>
        <w:rPr>
          <w:rFonts w:ascii="Times New Roman" w:hAnsi="Times New Roman"/>
        </w:rPr>
        <w:t>设置连续的防撞</w:t>
      </w:r>
      <w:r>
        <w:rPr>
          <w:rFonts w:hint="eastAsia" w:ascii="Times New Roman" w:hAnsi="Times New Roman"/>
        </w:rPr>
        <w:t>护栏</w:t>
      </w:r>
      <w:r>
        <w:rPr>
          <w:rFonts w:ascii="Times New Roman" w:hAnsi="Times New Roman"/>
        </w:rPr>
        <w:t>和污水收集装置，防止化学危险品（主要是石化产品和建矿材料）事故污染对等沿线河流水域水质的影响，在路线纵坡坡向发生变化的拐点，设置应急池或者沉淀池。</w:t>
      </w:r>
    </w:p>
    <w:p>
      <w:pPr>
        <w:pStyle w:val="6"/>
        <w:numPr>
          <w:ilvl w:val="3"/>
          <w:numId w:val="0"/>
        </w:numPr>
        <w:ind w:leftChars="0"/>
      </w:pPr>
      <w:r>
        <w:rPr>
          <w:rFonts w:hint="eastAsia"/>
          <w:lang w:val="en-US" w:eastAsia="zh-CN"/>
        </w:rPr>
        <w:t xml:space="preserve">6.1.1.3 </w:t>
      </w:r>
      <w:r>
        <w:t>声环境影响防治措施</w:t>
      </w:r>
    </w:p>
    <w:p>
      <w:pPr>
        <w:ind w:firstLine="562"/>
        <w:rPr>
          <w:rFonts w:ascii="宋体" w:hAnsi="宋体" w:eastAsia="宋体" w:cs="Times New Roman"/>
          <w:b/>
          <w:kern w:val="2"/>
          <w:sz w:val="24"/>
          <w:szCs w:val="24"/>
          <w:lang w:val="en-US" w:eastAsia="zh-CN" w:bidi="ar-SA"/>
        </w:rPr>
      </w:pPr>
      <w:r>
        <w:rPr>
          <w:rFonts w:ascii="宋体" w:hAnsi="宋体" w:eastAsia="宋体" w:cs="Times New Roman"/>
          <w:b/>
          <w:kern w:val="2"/>
          <w:sz w:val="24"/>
          <w:szCs w:val="24"/>
          <w:lang w:val="en-US" w:eastAsia="zh-CN" w:bidi="ar-SA"/>
        </w:rPr>
        <w:t>施工期：</w:t>
      </w:r>
    </w:p>
    <w:p>
      <w:pPr>
        <w:ind w:firstLine="562"/>
        <w:rPr>
          <w:rFonts w:ascii="宋体" w:hAnsi="宋体" w:eastAsia="宋体" w:cs="Times New Roman"/>
          <w:kern w:val="2"/>
          <w:sz w:val="24"/>
          <w:szCs w:val="24"/>
          <w:lang w:val="en-US" w:eastAsia="zh-CN" w:bidi="ar-SA"/>
        </w:rPr>
      </w:pPr>
      <w:r>
        <w:rPr>
          <w:rFonts w:hint="eastAsia" w:ascii="宋体" w:hAnsi="宋体" w:cs="Times New Roman"/>
          <w:kern w:val="2"/>
          <w:sz w:val="24"/>
          <w:szCs w:val="24"/>
          <w:lang w:val="en-US" w:eastAsia="zh-CN" w:bidi="ar-SA"/>
        </w:rPr>
        <w:t>（1）</w:t>
      </w:r>
      <w:r>
        <w:rPr>
          <w:rFonts w:ascii="宋体" w:hAnsi="宋体" w:eastAsia="宋体" w:cs="Times New Roman"/>
          <w:kern w:val="2"/>
          <w:sz w:val="24"/>
          <w:szCs w:val="24"/>
          <w:lang w:val="en-US" w:eastAsia="zh-CN" w:bidi="ar-SA"/>
        </w:rPr>
        <w:t>施工单位对施工总平面进行合理布局，因为本工程多在湿地公园边缘，因此建议将高噪声设备尽可能布置于湿地公园外；将施工现场固定噪声源相对集中布置，以减小噪声干扰范围，选择环境要求低的位置安放强噪声设备，以减小噪声对周围敏感区的影响。</w:t>
      </w:r>
    </w:p>
    <w:p>
      <w:pPr>
        <w:pStyle w:val="18"/>
        <w:adjustRightInd w:val="0"/>
        <w:snapToGrid w:val="0"/>
        <w:spacing w:after="0"/>
        <w:ind w:firstLine="560"/>
        <w:rPr>
          <w:rFonts w:ascii="宋体" w:hAnsi="宋体" w:eastAsia="宋体" w:cs="Times New Roman"/>
          <w:kern w:val="2"/>
          <w:sz w:val="24"/>
          <w:szCs w:val="24"/>
          <w:lang w:val="en-US" w:eastAsia="zh-CN" w:bidi="ar-SA"/>
        </w:rPr>
      </w:pPr>
      <w:r>
        <w:rPr>
          <w:rFonts w:hint="eastAsia" w:ascii="宋体" w:hAnsi="宋体" w:cs="Times New Roman"/>
          <w:kern w:val="2"/>
          <w:sz w:val="24"/>
          <w:szCs w:val="24"/>
          <w:lang w:val="en-US" w:eastAsia="zh-CN" w:bidi="ar-SA"/>
        </w:rPr>
        <w:t>（2）</w:t>
      </w:r>
      <w:r>
        <w:rPr>
          <w:rFonts w:ascii="宋体" w:hAnsi="宋体" w:eastAsia="宋体" w:cs="Times New Roman"/>
          <w:kern w:val="2"/>
          <w:sz w:val="24"/>
          <w:szCs w:val="24"/>
          <w:lang w:val="en-US" w:eastAsia="zh-CN" w:bidi="ar-SA"/>
        </w:rPr>
        <w:t>合理安排施工时间，禁止夜间施工。</w:t>
      </w:r>
    </w:p>
    <w:p>
      <w:pPr>
        <w:pStyle w:val="18"/>
        <w:adjustRightInd w:val="0"/>
        <w:snapToGrid w:val="0"/>
        <w:spacing w:after="0"/>
        <w:ind w:firstLine="560"/>
        <w:rPr>
          <w:rFonts w:ascii="宋体" w:hAnsi="宋体" w:eastAsia="宋体" w:cs="Times New Roman"/>
          <w:kern w:val="2"/>
          <w:sz w:val="24"/>
          <w:szCs w:val="24"/>
          <w:lang w:val="en-US" w:eastAsia="zh-CN" w:bidi="ar-SA"/>
        </w:rPr>
      </w:pPr>
      <w:r>
        <w:rPr>
          <w:rFonts w:hint="eastAsia" w:ascii="宋体" w:hAnsi="宋体" w:cs="Times New Roman"/>
          <w:kern w:val="2"/>
          <w:sz w:val="24"/>
          <w:szCs w:val="24"/>
          <w:lang w:val="en-US" w:eastAsia="zh-CN" w:bidi="ar-SA"/>
        </w:rPr>
        <w:t>（3）</w:t>
      </w:r>
      <w:r>
        <w:rPr>
          <w:rFonts w:ascii="宋体" w:hAnsi="宋体" w:eastAsia="宋体" w:cs="Times New Roman"/>
          <w:kern w:val="2"/>
          <w:sz w:val="24"/>
          <w:szCs w:val="24"/>
          <w:lang w:val="en-US" w:eastAsia="zh-CN" w:bidi="ar-SA"/>
        </w:rPr>
        <w:t>文明施工，装卸、搬运木材、模具、钢材等严禁抛掷。材料运输等汽车进场要专人指挥，限速，场内运输车辆禁止鸣笛。在室内施工时期，关闭窗户。</w:t>
      </w:r>
    </w:p>
    <w:p>
      <w:pPr>
        <w:pStyle w:val="18"/>
        <w:adjustRightInd w:val="0"/>
        <w:snapToGrid w:val="0"/>
        <w:spacing w:after="0"/>
        <w:ind w:firstLine="560"/>
        <w:rPr>
          <w:rFonts w:ascii="宋体" w:hAnsi="宋体" w:eastAsia="宋体" w:cs="Times New Roman"/>
          <w:kern w:val="2"/>
          <w:sz w:val="24"/>
          <w:szCs w:val="24"/>
          <w:lang w:val="en-US" w:eastAsia="zh-CN" w:bidi="ar-SA"/>
        </w:rPr>
      </w:pPr>
      <w:r>
        <w:rPr>
          <w:rFonts w:hint="eastAsia" w:ascii="宋体" w:hAnsi="宋体" w:cs="Times New Roman"/>
          <w:kern w:val="2"/>
          <w:sz w:val="24"/>
          <w:szCs w:val="24"/>
          <w:lang w:val="en-US" w:eastAsia="zh-CN" w:bidi="ar-SA"/>
        </w:rPr>
        <w:t>（4）</w:t>
      </w:r>
      <w:r>
        <w:rPr>
          <w:rFonts w:ascii="宋体" w:hAnsi="宋体" w:eastAsia="宋体" w:cs="Times New Roman"/>
          <w:kern w:val="2"/>
          <w:sz w:val="24"/>
          <w:szCs w:val="24"/>
          <w:lang w:val="en-US" w:eastAsia="zh-CN" w:bidi="ar-SA"/>
        </w:rPr>
        <w:t>尽量选用低噪声设备，并加强设备检查、维修，保证机械的正常运行。</w:t>
      </w:r>
    </w:p>
    <w:p>
      <w:pPr>
        <w:pStyle w:val="18"/>
        <w:adjustRightInd w:val="0"/>
        <w:snapToGrid w:val="0"/>
        <w:spacing w:after="0"/>
        <w:ind w:firstLine="560"/>
        <w:rPr>
          <w:rFonts w:ascii="宋体" w:hAnsi="宋体" w:eastAsia="宋体" w:cs="Times New Roman"/>
          <w:kern w:val="2"/>
          <w:sz w:val="24"/>
          <w:szCs w:val="24"/>
          <w:lang w:val="en-US" w:eastAsia="zh-CN" w:bidi="ar-SA"/>
        </w:rPr>
      </w:pPr>
      <w:r>
        <w:rPr>
          <w:rFonts w:hint="eastAsia" w:ascii="宋体" w:hAnsi="宋体" w:cs="Times New Roman"/>
          <w:kern w:val="2"/>
          <w:sz w:val="24"/>
          <w:szCs w:val="24"/>
          <w:lang w:val="en-US" w:eastAsia="zh-CN" w:bidi="ar-SA"/>
        </w:rPr>
        <w:t>（5）</w:t>
      </w:r>
      <w:r>
        <w:rPr>
          <w:rFonts w:ascii="宋体" w:hAnsi="宋体" w:eastAsia="宋体" w:cs="Times New Roman"/>
          <w:kern w:val="2"/>
          <w:sz w:val="24"/>
          <w:szCs w:val="24"/>
          <w:lang w:val="en-US" w:eastAsia="zh-CN" w:bidi="ar-SA"/>
        </w:rPr>
        <w:t>加强施工人员的管理和教育，施工中减少不必要的金属敲击声。</w:t>
      </w:r>
    </w:p>
    <w:p>
      <w:pPr>
        <w:pStyle w:val="18"/>
        <w:adjustRightInd w:val="0"/>
        <w:snapToGrid w:val="0"/>
        <w:spacing w:after="0"/>
        <w:ind w:firstLine="560"/>
        <w:rPr>
          <w:rFonts w:ascii="宋体" w:hAnsi="宋体" w:eastAsia="宋体" w:cs="Times New Roman"/>
          <w:kern w:val="2"/>
          <w:sz w:val="24"/>
          <w:szCs w:val="24"/>
          <w:lang w:val="en-US" w:eastAsia="zh-CN" w:bidi="ar-SA"/>
        </w:rPr>
      </w:pPr>
      <w:r>
        <w:rPr>
          <w:rFonts w:ascii="宋体" w:hAnsi="宋体" w:eastAsia="宋体" w:cs="Times New Roman"/>
          <w:kern w:val="2"/>
          <w:sz w:val="24"/>
          <w:szCs w:val="24"/>
          <w:lang w:val="en-US" w:eastAsia="zh-CN" w:bidi="ar-SA"/>
        </w:rPr>
        <w:t>施工期噪声经过采取上述措施治理后，其施工期间的场界噪声可以满足《建筑施工场界环境噪声排放标准》（G152523-2011）标准的要求，实现达标排放，不会对周围声环境产生不利影响。项目施工期噪声影响是暂时性的，在采取相应的管理措施后可减至最低</w:t>
      </w:r>
      <w:r>
        <w:rPr>
          <w:rFonts w:hint="eastAsia" w:ascii="宋体" w:hAnsi="宋体" w:cs="Times New Roman"/>
          <w:kern w:val="2"/>
          <w:sz w:val="24"/>
          <w:szCs w:val="24"/>
          <w:lang w:val="en-US" w:eastAsia="zh-CN" w:bidi="ar-SA"/>
        </w:rPr>
        <w:t>，</w:t>
      </w:r>
      <w:r>
        <w:rPr>
          <w:rFonts w:ascii="宋体" w:hAnsi="宋体" w:eastAsia="宋体" w:cs="Times New Roman"/>
          <w:kern w:val="2"/>
          <w:sz w:val="24"/>
          <w:szCs w:val="24"/>
          <w:lang w:val="en-US" w:eastAsia="zh-CN" w:bidi="ar-SA"/>
        </w:rPr>
        <w:t>并将随着施工期的结束而消失。</w:t>
      </w:r>
    </w:p>
    <w:p>
      <w:pPr>
        <w:ind w:firstLine="562"/>
        <w:rPr>
          <w:rFonts w:ascii="Times New Roman" w:hAnsi="Times New Roman"/>
        </w:rPr>
      </w:pPr>
      <w:r>
        <w:rPr>
          <w:rFonts w:ascii="宋体" w:hAnsi="宋体" w:eastAsia="宋体" w:cs="Times New Roman"/>
          <w:b/>
          <w:kern w:val="2"/>
          <w:sz w:val="24"/>
          <w:szCs w:val="24"/>
          <w:lang w:val="en-US" w:eastAsia="zh-CN" w:bidi="ar-SA"/>
        </w:rPr>
        <w:t>运营期：</w:t>
      </w:r>
      <w:r>
        <w:t>在</w:t>
      </w:r>
      <w:r>
        <w:rPr>
          <w:rFonts w:hint="eastAsia" w:ascii="Times New Roman" w:hAnsi="Times New Roman"/>
        </w:rPr>
        <w:t>公路靠近</w:t>
      </w:r>
      <w:r>
        <w:rPr>
          <w:rFonts w:ascii="Times New Roman" w:hAnsi="Times New Roman"/>
        </w:rPr>
        <w:t>湿地公园处</w:t>
      </w:r>
      <w:r>
        <w:rPr>
          <w:rFonts w:hint="eastAsia" w:ascii="Times New Roman" w:hAnsi="Times New Roman"/>
        </w:rPr>
        <w:t>的</w:t>
      </w:r>
      <w:r>
        <w:rPr>
          <w:rFonts w:ascii="Times New Roman" w:hAnsi="Times New Roman"/>
        </w:rPr>
        <w:t>醒目位置设置禁止</w:t>
      </w:r>
      <w:r>
        <w:rPr>
          <w:rFonts w:hint="eastAsia" w:ascii="Times New Roman" w:hAnsi="Times New Roman"/>
        </w:rPr>
        <w:t>鸣笛</w:t>
      </w:r>
      <w:r>
        <w:rPr>
          <w:rFonts w:ascii="Times New Roman" w:hAnsi="Times New Roman"/>
        </w:rPr>
        <w:t>等警示标志，减</w:t>
      </w:r>
      <w:r>
        <w:rPr>
          <w:rFonts w:hint="eastAsia" w:ascii="Times New Roman" w:hAnsi="Times New Roman"/>
        </w:rPr>
        <w:t>小</w:t>
      </w:r>
      <w:r>
        <w:rPr>
          <w:rFonts w:ascii="Times New Roman" w:hAnsi="Times New Roman"/>
        </w:rPr>
        <w:t>对湿地公园声环境的影响</w:t>
      </w:r>
      <w:r>
        <w:rPr>
          <w:rFonts w:hint="eastAsia" w:ascii="Times New Roman" w:hAnsi="Times New Roman"/>
        </w:rPr>
        <w:t>。</w:t>
      </w:r>
    </w:p>
    <w:p>
      <w:pPr>
        <w:pStyle w:val="5"/>
        <w:numPr>
          <w:ilvl w:val="2"/>
          <w:numId w:val="0"/>
        </w:numPr>
        <w:ind w:leftChars="0"/>
        <w:rPr>
          <w:rFonts w:cs="Times New Roman"/>
        </w:rPr>
      </w:pPr>
      <w:r>
        <w:rPr>
          <w:rFonts w:hint="eastAsia" w:cs="Times New Roman"/>
          <w:lang w:val="en-US" w:eastAsia="zh-CN"/>
        </w:rPr>
        <w:t xml:space="preserve">6.1.2 </w:t>
      </w:r>
      <w:r>
        <w:rPr>
          <w:rFonts w:cs="Times New Roman"/>
        </w:rPr>
        <w:t>野生植物保护措施</w:t>
      </w:r>
    </w:p>
    <w:p>
      <w:pPr>
        <w:ind w:firstLine="562"/>
        <w:rPr>
          <w:rFonts w:cs="Times New Roman"/>
          <w:b/>
          <w:color w:val="auto"/>
          <w:sz w:val="24"/>
          <w:szCs w:val="24"/>
        </w:rPr>
      </w:pPr>
      <w:r>
        <w:rPr>
          <w:rFonts w:cs="Times New Roman"/>
          <w:b/>
          <w:color w:val="auto"/>
          <w:sz w:val="24"/>
          <w:szCs w:val="24"/>
        </w:rPr>
        <w:t>（1）做好施工区内施工裸露面植被恢复</w:t>
      </w:r>
    </w:p>
    <w:p>
      <w:pPr>
        <w:ind w:firstLine="560"/>
        <w:rPr>
          <w:rFonts w:cs="Times New Roman"/>
          <w:sz w:val="24"/>
          <w:szCs w:val="24"/>
        </w:rPr>
      </w:pPr>
      <w:r>
        <w:rPr>
          <w:rFonts w:cs="Times New Roman"/>
          <w:sz w:val="24"/>
          <w:szCs w:val="24"/>
        </w:rPr>
        <w:t>施工</w:t>
      </w:r>
      <w:r>
        <w:rPr>
          <w:rFonts w:hint="eastAsia" w:cs="Times New Roman"/>
          <w:sz w:val="24"/>
          <w:szCs w:val="24"/>
          <w:lang w:val="en-US" w:eastAsia="zh-CN"/>
        </w:rPr>
        <w:t>区内</w:t>
      </w:r>
      <w:r>
        <w:rPr>
          <w:rFonts w:cs="Times New Roman"/>
          <w:sz w:val="24"/>
          <w:szCs w:val="24"/>
        </w:rPr>
        <w:t>植被恢复有以下技术要点：</w:t>
      </w:r>
    </w:p>
    <w:p>
      <w:pPr>
        <w:ind w:firstLine="560"/>
        <w:rPr>
          <w:rFonts w:cs="Times New Roman"/>
          <w:sz w:val="24"/>
          <w:szCs w:val="24"/>
        </w:rPr>
      </w:pPr>
      <w:r>
        <w:rPr>
          <w:rFonts w:hint="eastAsia" w:ascii="宋体" w:hAnsi="宋体" w:cs="宋体"/>
          <w:sz w:val="24"/>
          <w:szCs w:val="24"/>
        </w:rPr>
        <w:t>①</w:t>
      </w:r>
      <w:r>
        <w:rPr>
          <w:rFonts w:cs="Times New Roman"/>
          <w:sz w:val="24"/>
          <w:szCs w:val="24"/>
        </w:rPr>
        <w:t>根据现有占地区内植被状况进行恢复，即现为灌丛的区域应采用栽培灌木苗+播撒草籽的方式恢复为灌丛，现为草甸的区域应采用挖小沟栽植草本植物或播撒草籽的方式恢复为草甸。</w:t>
      </w:r>
    </w:p>
    <w:p>
      <w:pPr>
        <w:ind w:firstLine="560"/>
        <w:rPr>
          <w:rFonts w:cs="Times New Roman"/>
          <w:sz w:val="24"/>
          <w:szCs w:val="24"/>
        </w:rPr>
      </w:pPr>
      <w:r>
        <w:rPr>
          <w:rFonts w:hint="eastAsia" w:ascii="宋体" w:hAnsi="宋体" w:cs="宋体"/>
          <w:sz w:val="24"/>
          <w:szCs w:val="24"/>
        </w:rPr>
        <w:t>②</w:t>
      </w:r>
      <w:r>
        <w:rPr>
          <w:rFonts w:cs="Times New Roman"/>
          <w:sz w:val="24"/>
          <w:szCs w:val="24"/>
        </w:rPr>
        <w:t>应在施工前对当地具体植被类型做记录，在清理施工作业带时，应将原来生长的灌木幼苗或低矮灌木植株和草皮移栽至附近适宜的地段妥善栽植保存，施工完成后，按照原来的植被类型进行恢复。由此尽量减少对植物的直接破坏，杜绝滥砍滥伐滥挖灌草。</w:t>
      </w:r>
    </w:p>
    <w:p>
      <w:pPr>
        <w:ind w:firstLine="560"/>
        <w:rPr>
          <w:rFonts w:cs="Times New Roman"/>
          <w:sz w:val="24"/>
          <w:szCs w:val="24"/>
        </w:rPr>
      </w:pPr>
      <w:r>
        <w:rPr>
          <w:rFonts w:hint="eastAsia" w:ascii="宋体" w:hAnsi="宋体" w:cs="宋体"/>
          <w:sz w:val="24"/>
          <w:szCs w:val="24"/>
        </w:rPr>
        <w:t>③</w:t>
      </w:r>
      <w:r>
        <w:rPr>
          <w:rFonts w:cs="Times New Roman"/>
          <w:sz w:val="24"/>
          <w:szCs w:val="24"/>
        </w:rPr>
        <w:t>应优先考虑利用施工前移栽的灌木幼苗或低矮灌木植株和草皮进行植被恢复。如移栽的灌木幼苗或低矮灌木植株和草皮不能满足植被恢复需求，则开展人工恢复方案——灌木苗或低矮灌木植株与草本植物+草籽应选用区内的原生物种，严禁引入区内没有分布的种苗或草籽进行栽植。本区域海拔较高，因此，不推荐乔木树种。</w:t>
      </w:r>
    </w:p>
    <w:p>
      <w:pPr>
        <w:ind w:firstLine="560"/>
        <w:rPr>
          <w:rFonts w:cs="Times New Roman"/>
          <w:sz w:val="24"/>
          <w:szCs w:val="24"/>
        </w:rPr>
      </w:pPr>
    </w:p>
    <w:p>
      <w:pPr>
        <w:ind w:firstLine="560"/>
        <w:rPr>
          <w:rFonts w:cs="Times New Roman"/>
          <w:sz w:val="24"/>
          <w:szCs w:val="24"/>
        </w:rPr>
      </w:pPr>
    </w:p>
    <w:p>
      <w:pPr>
        <w:pStyle w:val="15"/>
        <w:rPr>
          <w:rFonts w:cs="Times New Roman"/>
        </w:rPr>
      </w:pPr>
      <w:r>
        <w:rPr>
          <w:rFonts w:cs="Times New Roman"/>
        </w:rPr>
        <w:t xml:space="preserve">表 </w:t>
      </w:r>
      <w:r>
        <w:rPr>
          <w:rFonts w:cs="Times New Roman"/>
        </w:rPr>
        <w:fldChar w:fldCharType="begin"/>
      </w:r>
      <w:r>
        <w:rPr>
          <w:rFonts w:cs="Times New Roman"/>
        </w:rPr>
        <w:instrText xml:space="preserve"> STYLEREF 1 \s </w:instrText>
      </w:r>
      <w:r>
        <w:rPr>
          <w:rFonts w:cs="Times New Roman"/>
        </w:rPr>
        <w:fldChar w:fldCharType="separate"/>
      </w:r>
      <w:r>
        <w:rPr>
          <w:rFonts w:cs="Times New Roman"/>
        </w:rPr>
        <w:t>6</w:t>
      </w:r>
      <w:r>
        <w:rPr>
          <w:rFonts w:cs="Times New Roman"/>
        </w:rPr>
        <w:fldChar w:fldCharType="end"/>
      </w:r>
      <w:r>
        <w:rPr>
          <w:rFonts w:cs="Times New Roman"/>
        </w:rPr>
        <w:noBreakHyphen/>
      </w:r>
      <w:r>
        <w:rPr>
          <w:rFonts w:cs="Times New Roman"/>
        </w:rPr>
        <w:fldChar w:fldCharType="begin"/>
      </w:r>
      <w:r>
        <w:rPr>
          <w:rFonts w:cs="Times New Roman"/>
        </w:rPr>
        <w:instrText xml:space="preserve"> SEQ 表 \* ARABIC \s 1 </w:instrText>
      </w:r>
      <w:r>
        <w:rPr>
          <w:rFonts w:cs="Times New Roman"/>
        </w:rPr>
        <w:fldChar w:fldCharType="separate"/>
      </w:r>
      <w:r>
        <w:rPr>
          <w:rFonts w:cs="Times New Roman"/>
        </w:rPr>
        <w:t>1</w:t>
      </w:r>
      <w:r>
        <w:rPr>
          <w:rFonts w:cs="Times New Roman"/>
        </w:rPr>
        <w:fldChar w:fldCharType="end"/>
      </w:r>
      <w:r>
        <w:rPr>
          <w:rFonts w:cs="Times New Roman"/>
        </w:rPr>
        <w:t xml:space="preserve"> </w:t>
      </w:r>
      <w:r>
        <w:rPr>
          <w:rFonts w:hint="eastAsia" w:cs="Times New Roman"/>
        </w:rPr>
        <w:t>湿地公园</w:t>
      </w:r>
      <w:r>
        <w:rPr>
          <w:rFonts w:cs="Times New Roman"/>
        </w:rPr>
        <w:t>植被恢复物种选择表</w:t>
      </w:r>
    </w:p>
    <w:tbl>
      <w:tblPr>
        <w:tblStyle w:val="42"/>
        <w:tblW w:w="821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115"/>
        <w:gridCol w:w="710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115" w:type="dxa"/>
            <w:vAlign w:val="center"/>
          </w:tcPr>
          <w:p>
            <w:pPr>
              <w:spacing w:line="240" w:lineRule="auto"/>
              <w:ind w:firstLine="0" w:firstLineChars="0"/>
              <w:jc w:val="center"/>
              <w:rPr>
                <w:rFonts w:cs="Times New Roman"/>
                <w:b/>
                <w:sz w:val="21"/>
              </w:rPr>
            </w:pPr>
            <w:r>
              <w:rPr>
                <w:rFonts w:cs="Times New Roman"/>
                <w:b/>
                <w:sz w:val="21"/>
              </w:rPr>
              <w:t>生活型</w:t>
            </w:r>
          </w:p>
        </w:tc>
        <w:tc>
          <w:tcPr>
            <w:tcW w:w="7104" w:type="dxa"/>
            <w:shd w:val="clear" w:color="auto" w:fill="auto"/>
            <w:vAlign w:val="center"/>
          </w:tcPr>
          <w:p>
            <w:pPr>
              <w:spacing w:line="240" w:lineRule="auto"/>
              <w:ind w:firstLine="0" w:firstLineChars="0"/>
              <w:jc w:val="center"/>
              <w:rPr>
                <w:rFonts w:cs="Times New Roman"/>
                <w:b/>
                <w:sz w:val="21"/>
              </w:rPr>
            </w:pPr>
            <w:r>
              <w:rPr>
                <w:rFonts w:cs="Times New Roman"/>
                <w:b/>
                <w:sz w:val="21"/>
              </w:rPr>
              <w:t>主要物种</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115" w:type="dxa"/>
            <w:vAlign w:val="center"/>
          </w:tcPr>
          <w:p>
            <w:pPr>
              <w:spacing w:line="240" w:lineRule="auto"/>
              <w:ind w:firstLine="0" w:firstLineChars="0"/>
              <w:jc w:val="center"/>
              <w:rPr>
                <w:rFonts w:cs="Times New Roman"/>
                <w:sz w:val="21"/>
              </w:rPr>
            </w:pPr>
            <w:r>
              <w:rPr>
                <w:rFonts w:cs="Times New Roman"/>
                <w:sz w:val="21"/>
              </w:rPr>
              <w:t>灌木</w:t>
            </w:r>
          </w:p>
        </w:tc>
        <w:tc>
          <w:tcPr>
            <w:tcW w:w="7104" w:type="dxa"/>
            <w:shd w:val="clear" w:color="auto" w:fill="auto"/>
            <w:vAlign w:val="center"/>
          </w:tcPr>
          <w:p>
            <w:pPr>
              <w:spacing w:line="240" w:lineRule="auto"/>
              <w:ind w:firstLine="0" w:firstLineChars="0"/>
              <w:rPr>
                <w:rFonts w:cs="Times New Roman"/>
                <w:color w:val="FF0000"/>
                <w:sz w:val="21"/>
              </w:rPr>
            </w:pPr>
            <w:r>
              <w:rPr>
                <w:rFonts w:cs="Times New Roman"/>
                <w:color w:val="auto"/>
                <w:sz w:val="21"/>
              </w:rPr>
              <w:t>高山柳、</w:t>
            </w:r>
            <w:r>
              <w:rPr>
                <w:rFonts w:hint="eastAsia" w:cs="Times New Roman"/>
                <w:color w:val="auto"/>
                <w:sz w:val="21"/>
              </w:rPr>
              <w:t>青海杜鹃</w:t>
            </w:r>
            <w:r>
              <w:rPr>
                <w:rFonts w:hint="eastAsia" w:cs="Times New Roman"/>
                <w:color w:val="auto"/>
                <w:sz w:val="21"/>
                <w:lang w:eastAsia="zh-CN"/>
              </w:rPr>
              <w:t>、紫丁杜鹃、</w:t>
            </w:r>
            <w:r>
              <w:rPr>
                <w:rFonts w:hint="eastAsia" w:cs="Times New Roman"/>
                <w:color w:val="auto"/>
                <w:sz w:val="21"/>
              </w:rPr>
              <w:t>樱草杜鹃、光亮杜鹃</w:t>
            </w:r>
            <w:r>
              <w:rPr>
                <w:rFonts w:hint="eastAsia" w:cs="Times New Roman"/>
                <w:color w:val="auto"/>
                <w:sz w:val="21"/>
                <w:lang w:eastAsia="zh-CN"/>
              </w:rPr>
              <w:t>、小檗、陇塞忍冬、锦鸡儿、</w:t>
            </w:r>
            <w:r>
              <w:rPr>
                <w:rFonts w:hint="eastAsia" w:cs="Times New Roman"/>
                <w:color w:val="auto"/>
                <w:sz w:val="21"/>
              </w:rPr>
              <w:t>金露梅、高山绣线菊、窄叶鲜卑花</w:t>
            </w:r>
            <w:r>
              <w:rPr>
                <w:rFonts w:cs="Times New Roman"/>
                <w:color w:val="auto"/>
                <w:sz w:val="21"/>
              </w:rPr>
              <w:t>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115" w:type="dxa"/>
            <w:vAlign w:val="center"/>
          </w:tcPr>
          <w:p>
            <w:pPr>
              <w:spacing w:line="240" w:lineRule="auto"/>
              <w:ind w:firstLine="0" w:firstLineChars="0"/>
              <w:jc w:val="center"/>
              <w:rPr>
                <w:rFonts w:cs="Times New Roman"/>
                <w:sz w:val="21"/>
              </w:rPr>
            </w:pPr>
            <w:r>
              <w:rPr>
                <w:rFonts w:cs="Times New Roman"/>
                <w:sz w:val="21"/>
              </w:rPr>
              <w:t>草本</w:t>
            </w:r>
          </w:p>
        </w:tc>
        <w:tc>
          <w:tcPr>
            <w:tcW w:w="7104" w:type="dxa"/>
            <w:shd w:val="clear" w:color="auto" w:fill="auto"/>
            <w:vAlign w:val="center"/>
          </w:tcPr>
          <w:p>
            <w:pPr>
              <w:spacing w:line="240" w:lineRule="auto"/>
              <w:ind w:firstLine="0" w:firstLineChars="0"/>
              <w:rPr>
                <w:rFonts w:cs="Times New Roman"/>
                <w:color w:val="FF0000"/>
                <w:sz w:val="21"/>
              </w:rPr>
            </w:pPr>
            <w:r>
              <w:rPr>
                <w:rFonts w:cs="Times New Roman"/>
                <w:color w:val="auto"/>
                <w:sz w:val="21"/>
              </w:rPr>
              <w:t>垂穗鹅观草、</w:t>
            </w:r>
            <w:r>
              <w:rPr>
                <w:rFonts w:hint="eastAsia" w:cs="Times New Roman"/>
                <w:color w:val="auto"/>
                <w:sz w:val="21"/>
              </w:rPr>
              <w:t>羊茅</w:t>
            </w:r>
            <w:r>
              <w:rPr>
                <w:rFonts w:cs="Times New Roman"/>
                <w:color w:val="auto"/>
                <w:sz w:val="21"/>
              </w:rPr>
              <w:t>、嵩草、苔草、圆穗蓼、</w:t>
            </w:r>
            <w:r>
              <w:rPr>
                <w:rFonts w:hint="eastAsia" w:cs="Times New Roman"/>
                <w:color w:val="auto"/>
                <w:sz w:val="21"/>
              </w:rPr>
              <w:t>珠芽蓼</w:t>
            </w:r>
            <w:r>
              <w:rPr>
                <w:rFonts w:hint="eastAsia" w:cs="Times New Roman"/>
                <w:color w:val="auto"/>
                <w:sz w:val="21"/>
                <w:lang w:eastAsia="zh-CN"/>
              </w:rPr>
              <w:t>、老鹳草、长茎毛茛、</w:t>
            </w:r>
            <w:r>
              <w:rPr>
                <w:rFonts w:cs="Times New Roman"/>
                <w:color w:val="auto"/>
                <w:sz w:val="21"/>
              </w:rPr>
              <w:t>高原毛茛、委陵菜、马先蒿、</w:t>
            </w:r>
            <w:r>
              <w:rPr>
                <w:rFonts w:hint="eastAsia" w:cs="Times New Roman"/>
                <w:color w:val="auto"/>
                <w:sz w:val="21"/>
              </w:rPr>
              <w:t>早熟禾、</w:t>
            </w:r>
            <w:r>
              <w:rPr>
                <w:rFonts w:cs="Times New Roman"/>
                <w:color w:val="auto"/>
                <w:sz w:val="21"/>
              </w:rPr>
              <w:t>原生菊科植物等</w:t>
            </w:r>
          </w:p>
        </w:tc>
      </w:tr>
    </w:tbl>
    <w:p>
      <w:pPr>
        <w:ind w:firstLine="560"/>
        <w:rPr>
          <w:rFonts w:hint="eastAsia" w:eastAsia="宋体" w:cs="Times New Roman"/>
          <w:sz w:val="24"/>
          <w:szCs w:val="24"/>
          <w:lang w:eastAsia="zh-CN"/>
        </w:rPr>
      </w:pPr>
      <w:r>
        <w:rPr>
          <w:rFonts w:hint="eastAsia" w:ascii="宋体" w:hAnsi="宋体" w:cs="宋体"/>
          <w:sz w:val="24"/>
          <w:szCs w:val="24"/>
        </w:rPr>
        <w:t>⑤</w:t>
      </w:r>
      <w:r>
        <w:rPr>
          <w:rFonts w:cs="Times New Roman"/>
          <w:sz w:val="24"/>
          <w:szCs w:val="24"/>
        </w:rPr>
        <w:t>按照各地块的立地条件开展植被恢复，以保证植被恢复成功。</w:t>
      </w:r>
      <w:r>
        <w:rPr>
          <w:rFonts w:hint="eastAsia" w:cs="Times New Roman"/>
          <w:sz w:val="24"/>
          <w:szCs w:val="24"/>
          <w:lang w:val="en-US" w:eastAsia="zh-CN"/>
        </w:rPr>
        <w:t>应特别</w:t>
      </w:r>
      <w:r>
        <w:rPr>
          <w:rFonts w:hint="eastAsia" w:cs="Times New Roman"/>
          <w:sz w:val="24"/>
          <w:szCs w:val="24"/>
        </w:rPr>
        <w:t>注意边坡修复和治理，防止水土流失和水污染</w:t>
      </w:r>
      <w:r>
        <w:rPr>
          <w:rFonts w:hint="eastAsia" w:cs="Times New Roman"/>
          <w:sz w:val="24"/>
          <w:szCs w:val="24"/>
          <w:lang w:eastAsia="zh-CN"/>
        </w:rPr>
        <w:t>。</w:t>
      </w:r>
    </w:p>
    <w:p>
      <w:pPr>
        <w:ind w:firstLine="560"/>
        <w:rPr>
          <w:rFonts w:cs="Times New Roman"/>
          <w:sz w:val="24"/>
          <w:szCs w:val="24"/>
        </w:rPr>
      </w:pPr>
      <w:r>
        <w:rPr>
          <w:rFonts w:hint="eastAsia" w:ascii="宋体" w:hAnsi="宋体" w:cs="宋体"/>
          <w:sz w:val="24"/>
          <w:szCs w:val="24"/>
        </w:rPr>
        <w:t>⑥</w:t>
      </w:r>
      <w:r>
        <w:rPr>
          <w:rFonts w:cs="Times New Roman"/>
          <w:sz w:val="24"/>
          <w:szCs w:val="24"/>
        </w:rPr>
        <w:t>灌木如采用人工植苗，植苗时间为五月中旬至六月上旬，大型灌木恢复密度设计为2000~2500株/hm</w:t>
      </w:r>
      <w:r>
        <w:rPr>
          <w:rFonts w:cs="Times New Roman"/>
          <w:sz w:val="24"/>
          <w:szCs w:val="24"/>
          <w:vertAlign w:val="superscript"/>
        </w:rPr>
        <w:t>2</w:t>
      </w:r>
      <w:r>
        <w:rPr>
          <w:rFonts w:cs="Times New Roman"/>
          <w:sz w:val="24"/>
          <w:szCs w:val="24"/>
        </w:rPr>
        <w:t>，株行距设计为2m×2~2.5m，采用穴状整地方式；小型灌木恢复密度设计为5000株/hm</w:t>
      </w:r>
      <w:r>
        <w:rPr>
          <w:rFonts w:cs="Times New Roman"/>
          <w:sz w:val="24"/>
          <w:szCs w:val="24"/>
          <w:vertAlign w:val="superscript"/>
        </w:rPr>
        <w:t>2</w:t>
      </w:r>
      <w:r>
        <w:rPr>
          <w:rFonts w:cs="Times New Roman"/>
          <w:sz w:val="24"/>
          <w:szCs w:val="24"/>
        </w:rPr>
        <w:t>，株行距设计为1m×2m，采用穴状整地方式，栽植穴按品字形交错排列。对于成活率低于70%的地块，要及时组织补植，补植时间最好为第二年的五月中旬至六月上旬，也可以在当年的九月上中旬。</w:t>
      </w:r>
    </w:p>
    <w:p>
      <w:pPr>
        <w:ind w:firstLine="560"/>
        <w:rPr>
          <w:rFonts w:cs="Times New Roman"/>
          <w:sz w:val="24"/>
          <w:szCs w:val="24"/>
        </w:rPr>
      </w:pPr>
      <w:r>
        <w:rPr>
          <w:rFonts w:hint="eastAsia" w:ascii="宋体" w:hAnsi="宋体" w:cs="宋体"/>
          <w:sz w:val="24"/>
          <w:szCs w:val="24"/>
        </w:rPr>
        <w:t>⑦</w:t>
      </w:r>
      <w:r>
        <w:rPr>
          <w:rFonts w:cs="Times New Roman"/>
          <w:sz w:val="24"/>
          <w:szCs w:val="24"/>
        </w:rPr>
        <w:t>草本植物如采用撒播草籽方式进行种植，应及时洒水，确保成活率。对于草本植物成活率低于70%的地块，也要及时进行补种</w:t>
      </w:r>
      <w:r>
        <w:rPr>
          <w:rFonts w:hint="eastAsia" w:cs="Times New Roman"/>
          <w:sz w:val="24"/>
          <w:szCs w:val="24"/>
          <w:lang w:eastAsia="zh-CN"/>
        </w:rPr>
        <w:t>，</w:t>
      </w:r>
      <w:r>
        <w:rPr>
          <w:rFonts w:hint="eastAsia" w:cs="Times New Roman"/>
          <w:sz w:val="24"/>
          <w:szCs w:val="24"/>
        </w:rPr>
        <w:t>并进行合理施肥、洒水；对有牲畜出没的地块要增加保护围栏防止牲畜啃食和破坏，最终保证植被恢复效果。</w:t>
      </w:r>
    </w:p>
    <w:p>
      <w:pPr>
        <w:ind w:firstLine="562"/>
        <w:rPr>
          <w:rFonts w:cs="Times New Roman"/>
          <w:b/>
          <w:sz w:val="24"/>
          <w:szCs w:val="24"/>
        </w:rPr>
      </w:pPr>
      <w:r>
        <w:rPr>
          <w:rFonts w:cs="Times New Roman"/>
          <w:b/>
          <w:sz w:val="24"/>
          <w:szCs w:val="24"/>
        </w:rPr>
        <w:t>（2）防止废气、粉尘、放射性物质对植物的影响</w:t>
      </w:r>
    </w:p>
    <w:p>
      <w:pPr>
        <w:ind w:firstLine="560"/>
        <w:rPr>
          <w:rFonts w:cs="Times New Roman"/>
          <w:bCs/>
          <w:sz w:val="24"/>
          <w:szCs w:val="24"/>
        </w:rPr>
      </w:pPr>
      <w:r>
        <w:rPr>
          <w:rFonts w:cs="Times New Roman"/>
          <w:bCs/>
          <w:sz w:val="24"/>
          <w:szCs w:val="24"/>
        </w:rPr>
        <w:t>工程施工过程中会产生大量粉尘随风飘散，降低评价区建设区域周围的环境质量。为防止工地尘土飞扬，给植物生长和植被生境带来不利影响，各个施工工地内应配备洒水车定时洒水，防止产生大量粉尘。</w:t>
      </w:r>
    </w:p>
    <w:p>
      <w:pPr>
        <w:ind w:firstLine="560"/>
        <w:rPr>
          <w:rFonts w:cs="Times New Roman"/>
          <w:sz w:val="24"/>
          <w:szCs w:val="24"/>
        </w:rPr>
      </w:pPr>
      <w:r>
        <w:rPr>
          <w:rFonts w:cs="Times New Roman"/>
          <w:bCs/>
          <w:sz w:val="24"/>
          <w:szCs w:val="24"/>
        </w:rPr>
        <w:t>另外，所有施工机械和运输工具废气的排放要符合国家有关标准。还需对施工车辆数量进行控制，合理调度施工车辆，防止资源浪费和过多废气排放。</w:t>
      </w:r>
    </w:p>
    <w:p>
      <w:pPr>
        <w:ind w:firstLine="562"/>
        <w:rPr>
          <w:rFonts w:cs="Times New Roman"/>
          <w:b/>
          <w:sz w:val="24"/>
          <w:szCs w:val="24"/>
        </w:rPr>
      </w:pPr>
      <w:r>
        <w:rPr>
          <w:rFonts w:cs="Times New Roman"/>
          <w:b/>
          <w:sz w:val="24"/>
          <w:szCs w:val="24"/>
        </w:rPr>
        <w:t>（3）</w:t>
      </w:r>
      <w:r>
        <w:rPr>
          <w:rFonts w:cs="Times New Roman"/>
          <w:b/>
          <w:bCs/>
          <w:sz w:val="24"/>
          <w:szCs w:val="24"/>
        </w:rPr>
        <w:t>划定最小施工工作区域，减小植被受影响面积</w:t>
      </w:r>
    </w:p>
    <w:p>
      <w:pPr>
        <w:ind w:firstLine="560"/>
        <w:rPr>
          <w:rFonts w:cs="Times New Roman"/>
          <w:bCs/>
          <w:sz w:val="24"/>
          <w:szCs w:val="24"/>
        </w:rPr>
      </w:pPr>
      <w:r>
        <w:rPr>
          <w:rFonts w:cs="Times New Roman"/>
          <w:bCs/>
          <w:sz w:val="24"/>
          <w:szCs w:val="24"/>
        </w:rPr>
        <w:t>在湿地公园内及周围施工过程中应划定最小的施工作业区域，严禁施工人员和器械超出施工区域对工地周边的植被、植物物种造成破坏，这是减小植物、植被受破坏影响的有效途径。在施工区域以内，除永久占地设施涉及开挖、平整之外，不应有其他破坏植被的施工活动。严禁施工材料在湿地公园一侧乱堆乱放、施工垃圾的随意堆放处置，影响植物物种的生长。</w:t>
      </w:r>
    </w:p>
    <w:p>
      <w:pPr>
        <w:ind w:firstLine="562"/>
        <w:rPr>
          <w:rFonts w:cs="Times New Roman"/>
          <w:b/>
          <w:sz w:val="24"/>
          <w:szCs w:val="24"/>
        </w:rPr>
      </w:pPr>
      <w:r>
        <w:rPr>
          <w:rFonts w:cs="Times New Roman"/>
          <w:b/>
          <w:sz w:val="24"/>
          <w:szCs w:val="24"/>
        </w:rPr>
        <w:t>（4）</w:t>
      </w:r>
      <w:r>
        <w:rPr>
          <w:rFonts w:cs="Times New Roman"/>
          <w:b/>
          <w:bCs/>
          <w:sz w:val="24"/>
          <w:szCs w:val="24"/>
        </w:rPr>
        <w:t>取用永久占地区的草皮用于植被恢复</w:t>
      </w:r>
    </w:p>
    <w:p>
      <w:pPr>
        <w:ind w:firstLine="560"/>
        <w:rPr>
          <w:rFonts w:cs="Times New Roman"/>
          <w:sz w:val="24"/>
          <w:szCs w:val="24"/>
        </w:rPr>
      </w:pPr>
      <w:r>
        <w:rPr>
          <w:rFonts w:cs="Times New Roman"/>
          <w:bCs/>
          <w:sz w:val="24"/>
          <w:szCs w:val="24"/>
        </w:rPr>
        <w:t>区内施工活动影响最大的植被类型为草甸，由于区内海拔高，气候条件严酷，地表草甸一旦破坏极难在短期内恢复，所以应该充分利用现有草甸资源。取工程占地的草皮用于施工迹地的恢复这是在对气候严酷地区进行植被恢复的有效方法。具体操作为：在对永久占地进行开挖施工以前，将其占地区域的草皮取下放于施工地周边，草皮上的植物由于环境条件改变不大会继续生长。待施工结束后，将草皮重新植入施工迹地两旁，这是评价区植被恢复最为理想的方法</w:t>
      </w:r>
      <w:r>
        <w:rPr>
          <w:rFonts w:cs="Times New Roman"/>
          <w:sz w:val="24"/>
          <w:szCs w:val="24"/>
        </w:rPr>
        <w:t>。</w:t>
      </w:r>
    </w:p>
    <w:p>
      <w:pPr>
        <w:ind w:firstLine="562"/>
        <w:rPr>
          <w:rFonts w:hint="eastAsia" w:cs="Times New Roman"/>
          <w:b/>
          <w:sz w:val="24"/>
          <w:szCs w:val="24"/>
        </w:rPr>
      </w:pPr>
      <w:r>
        <w:rPr>
          <w:rFonts w:hint="eastAsia" w:cs="Times New Roman"/>
          <w:b/>
          <w:sz w:val="24"/>
          <w:szCs w:val="24"/>
        </w:rPr>
        <w:t>（</w:t>
      </w:r>
      <w:r>
        <w:rPr>
          <w:rFonts w:hint="eastAsia" w:cs="Times New Roman"/>
          <w:b/>
          <w:sz w:val="24"/>
          <w:szCs w:val="24"/>
          <w:lang w:val="en-US" w:eastAsia="zh-CN"/>
        </w:rPr>
        <w:t>5</w:t>
      </w:r>
      <w:r>
        <w:rPr>
          <w:rFonts w:hint="eastAsia" w:cs="Times New Roman"/>
          <w:b/>
          <w:sz w:val="24"/>
          <w:szCs w:val="24"/>
        </w:rPr>
        <w:t>）</w:t>
      </w:r>
      <w:r>
        <w:rPr>
          <w:rFonts w:cs="Times New Roman"/>
          <w:b/>
          <w:sz w:val="24"/>
          <w:szCs w:val="24"/>
        </w:rPr>
        <w:t>设置禁止</w:t>
      </w:r>
      <w:r>
        <w:rPr>
          <w:rFonts w:hint="eastAsia" w:cs="Times New Roman"/>
          <w:b/>
          <w:sz w:val="24"/>
          <w:szCs w:val="24"/>
        </w:rPr>
        <w:t>采摘</w:t>
      </w:r>
      <w:r>
        <w:rPr>
          <w:rFonts w:cs="Times New Roman"/>
          <w:b/>
          <w:sz w:val="24"/>
          <w:szCs w:val="24"/>
        </w:rPr>
        <w:t>野生植物</w:t>
      </w:r>
      <w:r>
        <w:rPr>
          <w:rFonts w:hint="eastAsia" w:cs="Times New Roman"/>
          <w:b/>
          <w:sz w:val="24"/>
          <w:szCs w:val="24"/>
        </w:rPr>
        <w:t>的</w:t>
      </w:r>
      <w:r>
        <w:rPr>
          <w:rFonts w:cs="Times New Roman"/>
          <w:b/>
          <w:sz w:val="24"/>
          <w:szCs w:val="24"/>
        </w:rPr>
        <w:t>警示标志</w:t>
      </w:r>
    </w:p>
    <w:p>
      <w:pPr>
        <w:ind w:firstLine="480"/>
        <w:rPr>
          <w:rFonts w:cs="Times New Roman"/>
          <w:b/>
        </w:rPr>
      </w:pPr>
      <w:r>
        <w:rPr>
          <w:rFonts w:hint="eastAsia"/>
        </w:rPr>
        <w:t>公路靠近</w:t>
      </w:r>
      <w:r>
        <w:t>湿地公园处在醒目位置设置禁止</w:t>
      </w:r>
      <w:r>
        <w:rPr>
          <w:rFonts w:hint="eastAsia"/>
        </w:rPr>
        <w:t>采摘</w:t>
      </w:r>
      <w:r>
        <w:t>野生植物</w:t>
      </w:r>
      <w:r>
        <w:rPr>
          <w:rFonts w:hint="eastAsia"/>
        </w:rPr>
        <w:t>的</w:t>
      </w:r>
      <w:r>
        <w:t>警示标志，提醒过路驾驶员和乘客加强保护环境意识，不破坏湿地公园的野生植物</w:t>
      </w:r>
      <w:r>
        <w:rPr>
          <w:rFonts w:hint="eastAsia"/>
        </w:rPr>
        <w:t>。</w:t>
      </w:r>
    </w:p>
    <w:p>
      <w:pPr>
        <w:pStyle w:val="5"/>
        <w:numPr>
          <w:ilvl w:val="2"/>
          <w:numId w:val="0"/>
        </w:numPr>
        <w:ind w:leftChars="0"/>
        <w:rPr>
          <w:rFonts w:cs="Times New Roman"/>
        </w:rPr>
      </w:pPr>
      <w:r>
        <w:rPr>
          <w:rFonts w:hint="eastAsia" w:cs="Times New Roman"/>
          <w:lang w:val="en-US" w:eastAsia="zh-CN"/>
        </w:rPr>
        <w:t xml:space="preserve">6.1.3 </w:t>
      </w:r>
      <w:r>
        <w:rPr>
          <w:rFonts w:cs="Times New Roman"/>
        </w:rPr>
        <w:t>野生动物保护措施</w:t>
      </w:r>
    </w:p>
    <w:p>
      <w:pPr>
        <w:ind w:firstLine="562"/>
        <w:rPr>
          <w:rFonts w:hint="eastAsia" w:ascii="宋体" w:hAnsi="宋体" w:eastAsia="宋体" w:cs="Times New Roman"/>
          <w:b/>
          <w:kern w:val="2"/>
          <w:sz w:val="24"/>
          <w:szCs w:val="24"/>
          <w:lang w:val="en-US" w:eastAsia="zh-CN" w:bidi="ar-SA"/>
        </w:rPr>
      </w:pPr>
      <w:r>
        <w:rPr>
          <w:rFonts w:hint="eastAsia" w:ascii="宋体" w:hAnsi="宋体" w:eastAsia="宋体" w:cs="Times New Roman"/>
          <w:b/>
          <w:kern w:val="2"/>
          <w:sz w:val="24"/>
          <w:szCs w:val="24"/>
          <w:lang w:val="en-US" w:eastAsia="zh-CN" w:bidi="ar-SA"/>
        </w:rPr>
        <w:t>施工期：</w:t>
      </w:r>
    </w:p>
    <w:p>
      <w:pPr>
        <w:ind w:firstLine="562"/>
        <w:rPr>
          <w:rFonts w:hint="eastAsia" w:cs="Times New Roman"/>
        </w:rPr>
      </w:pPr>
      <w:r>
        <w:rPr>
          <w:rFonts w:hint="eastAsia" w:cs="Times New Roman"/>
        </w:rPr>
        <w:t>（1）对鱼类的保护措施</w:t>
      </w:r>
    </w:p>
    <w:p>
      <w:pPr>
        <w:ind w:firstLine="480"/>
        <w:rPr>
          <w:rFonts w:hint="eastAsia" w:cs="Times New Roman"/>
        </w:rPr>
      </w:pPr>
      <w:r>
        <w:rPr>
          <w:rFonts w:hint="eastAsia" w:cs="Times New Roman"/>
        </w:rPr>
        <w:t>规范施工行为，做好生态监理，严禁随意倾倒建渣及向湖泊内倾倒建渣，严禁生产活动废水直接排入评价区湿地内，严禁捕鱼、电鱼；防止水土流失，做好水源保护。</w:t>
      </w:r>
    </w:p>
    <w:p>
      <w:pPr>
        <w:ind w:firstLine="480"/>
        <w:rPr>
          <w:rFonts w:hint="eastAsia" w:cs="Times New Roman"/>
        </w:rPr>
      </w:pPr>
      <w:r>
        <w:rPr>
          <w:rFonts w:hint="eastAsia" w:cs="Times New Roman"/>
        </w:rPr>
        <w:t>（2）对两栖爬行动物的保护措施</w:t>
      </w:r>
    </w:p>
    <w:p>
      <w:pPr>
        <w:ind w:firstLine="480"/>
        <w:rPr>
          <w:rFonts w:hint="eastAsia" w:cs="Times New Roman"/>
        </w:rPr>
      </w:pPr>
      <w:r>
        <w:rPr>
          <w:rFonts w:hint="eastAsia" w:cs="Times New Roman"/>
        </w:rPr>
        <w:t>加强对评价区范围内现有湿地的保护，严格限定施工范围，避免造成大的水土流失；严防燃油泄漏及油污对土壤环境造成污染；对工程废弃物进行快速处理，及时运出湿地公园，防止遗留物对环境造成污染，防止对两栖爬行动物本身及栖息环境的破坏和污染。建设少量生态涵洞。阿莲路与珠姆措路项目共拟建圆管涵60道/540m、盖板涵30道/270m。这些管涵相对较小，建议将少量盖板涵的宽度和高度扩展为宽度和高度都大于0.4</w:t>
      </w:r>
      <w:r>
        <w:rPr>
          <w:rFonts w:hint="eastAsia" w:cs="Times New Roman"/>
          <w:lang w:val="en-US" w:eastAsia="zh-CN"/>
        </w:rPr>
        <w:t>~</w:t>
      </w:r>
      <w:r>
        <w:rPr>
          <w:rFonts w:hint="eastAsia" w:cs="Times New Roman"/>
        </w:rPr>
        <w:t>0.5m生态涵洞，涵洞底面铺上草地和泥土，涵洞上壁要预留光孔，光照对两栖动物迁徙定位具有重要作用。</w:t>
      </w:r>
    </w:p>
    <w:p>
      <w:pPr>
        <w:ind w:firstLine="480"/>
        <w:rPr>
          <w:rFonts w:hint="eastAsia" w:cs="Times New Roman"/>
        </w:rPr>
      </w:pPr>
      <w:r>
        <w:rPr>
          <w:rFonts w:hint="eastAsia" w:cs="Times New Roman"/>
        </w:rPr>
        <w:t>（3）对鸟类和兽类的保护措施</w:t>
      </w:r>
    </w:p>
    <w:p>
      <w:pPr>
        <w:ind w:firstLine="480"/>
        <w:rPr>
          <w:rFonts w:hint="eastAsia" w:cs="Times New Roman"/>
        </w:rPr>
      </w:pPr>
      <w:r>
        <w:rPr>
          <w:rFonts w:hint="eastAsia" w:cs="Times New Roman"/>
        </w:rPr>
        <w:t>增强施工人员的环境保护意识，加强对国家重点珍稀保护鸟兽的保护，禁止施工人员对有经济价值和观赏价值的鸟兽进行捕捉。</w:t>
      </w:r>
    </w:p>
    <w:p>
      <w:pPr>
        <w:ind w:firstLine="480"/>
        <w:rPr>
          <w:rFonts w:hint="eastAsia" w:cs="Times New Roman"/>
        </w:rPr>
      </w:pPr>
      <w:r>
        <w:rPr>
          <w:rFonts w:hint="eastAsia" w:cs="Times New Roman"/>
        </w:rPr>
        <w:t>对所需的材料均在湿地公园外进行集中统一加工，尽可能削减在湿地公园范围内的施工时间。施工现场采用最新降噪施工工艺，夜间禁止施工，减缓噪音对评价区鸟兽造成较大的干扰。</w:t>
      </w:r>
    </w:p>
    <w:p>
      <w:pPr>
        <w:ind w:firstLine="480"/>
        <w:rPr>
          <w:rFonts w:hint="eastAsia" w:cs="Times New Roman"/>
        </w:rPr>
      </w:pPr>
      <w:r>
        <w:rPr>
          <w:rFonts w:hint="eastAsia" w:cs="Times New Roman"/>
        </w:rPr>
        <w:t>加强生态监理，严禁施工人员无故进入湿地公园范围内活动。</w:t>
      </w:r>
    </w:p>
    <w:p>
      <w:pPr>
        <w:ind w:firstLine="562"/>
        <w:rPr>
          <w:rFonts w:hint="eastAsia" w:ascii="宋体" w:hAnsi="宋体" w:eastAsia="宋体" w:cs="Times New Roman"/>
          <w:b/>
          <w:kern w:val="2"/>
          <w:sz w:val="24"/>
          <w:szCs w:val="24"/>
          <w:lang w:val="en-US" w:eastAsia="zh-CN" w:bidi="ar-SA"/>
        </w:rPr>
      </w:pPr>
      <w:r>
        <w:rPr>
          <w:rFonts w:hint="eastAsia" w:ascii="宋体" w:hAnsi="宋体" w:eastAsia="宋体" w:cs="Times New Roman"/>
          <w:b/>
          <w:kern w:val="2"/>
          <w:sz w:val="24"/>
          <w:szCs w:val="24"/>
          <w:lang w:val="en-US" w:eastAsia="zh-CN" w:bidi="ar-SA"/>
        </w:rPr>
        <w:t>运营期</w:t>
      </w:r>
      <w:r>
        <w:rPr>
          <w:rFonts w:hint="eastAsia" w:ascii="宋体" w:hAnsi="宋体" w:cs="Times New Roman"/>
          <w:b/>
          <w:kern w:val="2"/>
          <w:sz w:val="24"/>
          <w:szCs w:val="24"/>
          <w:lang w:val="en-US" w:eastAsia="zh-CN" w:bidi="ar-SA"/>
        </w:rPr>
        <w:t>：</w:t>
      </w:r>
    </w:p>
    <w:p>
      <w:pPr>
        <w:ind w:firstLine="480"/>
        <w:rPr>
          <w:rFonts w:cs="Times New Roman"/>
        </w:rPr>
      </w:pPr>
      <w:r>
        <w:rPr>
          <w:rFonts w:hint="eastAsia" w:cs="Times New Roman"/>
        </w:rPr>
        <w:t>（1）</w:t>
      </w:r>
      <w:r>
        <w:rPr>
          <w:rFonts w:cs="Times New Roman"/>
        </w:rPr>
        <w:t>在湿地公园两侧出入适当位置树立警示牌，提示道路将在前方进入</w:t>
      </w:r>
      <w:r>
        <w:rPr>
          <w:rFonts w:hint="eastAsia" w:cs="Times New Roman"/>
          <w:lang w:val="en-US" w:eastAsia="zh-CN"/>
        </w:rPr>
        <w:t>阿坝莲宝叶则</w:t>
      </w:r>
      <w:r>
        <w:rPr>
          <w:rFonts w:cs="Times New Roman"/>
        </w:rPr>
        <w:t>省级湿地公园，标志上应清晰的显示减速，禁止鸣笛等标识，提醒来往车辆缓行通过，避免交通事故，减少对爬行类的碾压</w:t>
      </w:r>
      <w:r>
        <w:rPr>
          <w:rFonts w:hint="eastAsia" w:cs="Times New Roman"/>
        </w:rPr>
        <w:t>、</w:t>
      </w:r>
      <w:r>
        <w:rPr>
          <w:rFonts w:cs="Times New Roman"/>
        </w:rPr>
        <w:t>鸟类的撞击影响，减少噪音对湿地公园内野生动物的干扰。</w:t>
      </w:r>
    </w:p>
    <w:p>
      <w:pPr>
        <w:ind w:firstLine="480"/>
        <w:rPr>
          <w:rFonts w:cs="Times New Roman"/>
        </w:rPr>
      </w:pPr>
      <w:r>
        <w:rPr>
          <w:rFonts w:hint="eastAsia" w:cs="Times New Roman"/>
        </w:rPr>
        <w:t>（2）加强对湿地公园路段的公路维护保养，确保本区段的公路路面质量，以减小噪音、粉尘干扰。</w:t>
      </w:r>
    </w:p>
    <w:p>
      <w:pPr>
        <w:ind w:firstLine="480"/>
        <w:rPr>
          <w:rFonts w:hint="eastAsia" w:cs="Times New Roman"/>
        </w:rPr>
      </w:pPr>
      <w:r>
        <w:rPr>
          <w:rFonts w:hint="eastAsia" w:cs="Times New Roman"/>
        </w:rPr>
        <w:t>（3）提醒公路通行车辆人员爱护环境，禁止践踏公路沿线植被、丢弃生活垃圾。</w:t>
      </w:r>
    </w:p>
    <w:p>
      <w:pPr>
        <w:ind w:firstLine="480"/>
        <w:rPr>
          <w:rFonts w:hint="eastAsia" w:cs="Times New Roman"/>
        </w:rPr>
      </w:pPr>
      <w:r>
        <w:rPr>
          <w:rFonts w:hint="eastAsia" w:cs="Times New Roman"/>
          <w:lang w:eastAsia="zh-CN"/>
        </w:rPr>
        <w:t>（</w:t>
      </w:r>
      <w:r>
        <w:rPr>
          <w:rFonts w:hint="eastAsia" w:cs="Times New Roman"/>
          <w:lang w:val="en-US" w:eastAsia="zh-CN"/>
        </w:rPr>
        <w:t>4</w:t>
      </w:r>
      <w:r>
        <w:rPr>
          <w:rFonts w:hint="eastAsia" w:cs="Times New Roman"/>
          <w:lang w:eastAsia="zh-CN"/>
        </w:rPr>
        <w:t>）</w:t>
      </w:r>
      <w:r>
        <w:rPr>
          <w:rFonts w:hint="eastAsia" w:cs="Times New Roman"/>
        </w:rPr>
        <w:t>对旅游车辆需制定管理措施，旅游车辆白天限速行驶，夜间禁入。</w:t>
      </w:r>
    </w:p>
    <w:p>
      <w:pPr>
        <w:ind w:firstLine="480"/>
        <w:rPr>
          <w:rFonts w:cs="Times New Roman"/>
        </w:rPr>
      </w:pPr>
      <w:r>
        <w:rPr>
          <w:rFonts w:hint="eastAsia" w:cs="Times New Roman"/>
        </w:rPr>
        <w:t>（</w:t>
      </w:r>
      <w:r>
        <w:rPr>
          <w:rFonts w:hint="eastAsia" w:cs="Times New Roman"/>
          <w:lang w:val="en-US" w:eastAsia="zh-CN"/>
        </w:rPr>
        <w:t>5</w:t>
      </w:r>
      <w:r>
        <w:rPr>
          <w:rFonts w:hint="eastAsia" w:cs="Times New Roman"/>
        </w:rPr>
        <w:t>）制定交通事故应急处置预案，避免湿地公园路段的交通事故带来燃油泄漏、火灾等风险事故。</w:t>
      </w:r>
    </w:p>
    <w:p>
      <w:pPr>
        <w:pStyle w:val="3"/>
        <w:numPr>
          <w:ilvl w:val="1"/>
          <w:numId w:val="0"/>
        </w:numPr>
        <w:ind w:leftChars="0"/>
        <w:rPr>
          <w:rFonts w:cs="Times New Roman"/>
        </w:rPr>
      </w:pPr>
      <w:bookmarkStart w:id="35" w:name="_Toc13093"/>
      <w:r>
        <w:rPr>
          <w:rFonts w:hint="eastAsia" w:cs="Times New Roman"/>
          <w:lang w:val="en-US" w:eastAsia="zh-CN"/>
        </w:rPr>
        <w:t xml:space="preserve">6.2 </w:t>
      </w:r>
      <w:r>
        <w:rPr>
          <w:rFonts w:cs="Times New Roman"/>
        </w:rPr>
        <w:t>湿地景观资源减缓措施</w:t>
      </w:r>
      <w:bookmarkEnd w:id="35"/>
    </w:p>
    <w:p>
      <w:pPr>
        <w:ind w:firstLine="436" w:firstLineChars="182"/>
        <w:rPr>
          <w:rFonts w:hint="eastAsia" w:cs="Times New Roman"/>
        </w:rPr>
      </w:pPr>
      <w:r>
        <w:rPr>
          <w:rFonts w:hint="eastAsia" w:ascii="宋体" w:hAnsi="宋体" w:eastAsia="宋体" w:cs="Times New Roman"/>
          <w:b/>
          <w:kern w:val="2"/>
          <w:sz w:val="24"/>
          <w:szCs w:val="24"/>
          <w:lang w:val="en-US" w:eastAsia="zh-CN" w:bidi="ar-SA"/>
        </w:rPr>
        <w:t>施工期：</w:t>
      </w:r>
    </w:p>
    <w:p>
      <w:pPr>
        <w:ind w:firstLine="436" w:firstLineChars="182"/>
        <w:rPr>
          <w:rFonts w:hint="eastAsia" w:cs="Times New Roman"/>
        </w:rPr>
      </w:pPr>
      <w:r>
        <w:rPr>
          <w:rFonts w:hint="eastAsia" w:cs="Times New Roman"/>
        </w:rPr>
        <w:t>根据本项目建设方案，工程建设并无直接占用湿地公园水域面积。因此，工程在施工过程中，可以采取以下方式最大程度减少工程对评价区湿地的保护：</w:t>
      </w:r>
    </w:p>
    <w:p>
      <w:pPr>
        <w:ind w:firstLine="436" w:firstLineChars="182"/>
        <w:rPr>
          <w:rFonts w:hint="eastAsia" w:cs="Times New Roman"/>
        </w:rPr>
      </w:pPr>
      <w:r>
        <w:rPr>
          <w:rFonts w:hint="eastAsia" w:cs="Times New Roman"/>
        </w:rPr>
        <w:t>（1）首先在施工建设时期选择方面应当选择旱季施工，同时采取打围的方式限制污水、挖方向四周水流扩散，这样可以大程度减少施工对水环境的影响；</w:t>
      </w:r>
    </w:p>
    <w:p>
      <w:pPr>
        <w:ind w:firstLine="436" w:firstLineChars="182"/>
        <w:rPr>
          <w:rFonts w:hint="eastAsia" w:cs="Times New Roman"/>
        </w:rPr>
      </w:pPr>
      <w:r>
        <w:rPr>
          <w:rFonts w:hint="eastAsia" w:cs="Times New Roman"/>
        </w:rPr>
        <w:t>（2）在施工期，应当严格划定施工范围界限，严禁施工器械进入水体；</w:t>
      </w:r>
    </w:p>
    <w:p>
      <w:pPr>
        <w:ind w:firstLine="436" w:firstLineChars="182"/>
        <w:rPr>
          <w:rFonts w:hint="eastAsia" w:cs="Times New Roman"/>
        </w:rPr>
      </w:pPr>
      <w:r>
        <w:rPr>
          <w:rFonts w:hint="eastAsia" w:cs="Times New Roman"/>
        </w:rPr>
        <w:t>（3）施工完成后，应对工程开挖面采取及时回填夯实，并在其上方铺设</w:t>
      </w:r>
      <w:r>
        <w:rPr>
          <w:rFonts w:hint="eastAsia" w:cs="Times New Roman"/>
          <w:lang w:val="en-US" w:eastAsia="zh-CN"/>
        </w:rPr>
        <w:t>之前保存的</w:t>
      </w:r>
      <w:r>
        <w:rPr>
          <w:rFonts w:hint="eastAsia" w:cs="Times New Roman"/>
        </w:rPr>
        <w:t>草皮，再适量撒播</w:t>
      </w:r>
      <w:r>
        <w:rPr>
          <w:rFonts w:hint="eastAsia" w:cs="Times New Roman"/>
          <w:lang w:eastAsia="zh-CN"/>
        </w:rPr>
        <w:t>或</w:t>
      </w:r>
      <w:r>
        <w:rPr>
          <w:rFonts w:hint="eastAsia" w:cs="Times New Roman"/>
        </w:rPr>
        <w:t>一些嵩草、莎草类的湿生草本植物，保证其成活率，使其在汛期来临前最大程度恢复到自然状态。针对边坡，必须开展生态修复，并撒播草种，种植多年生草本和灌木，保证其成活率，以降低施工迹地的水土流失。可以利用施工前移栽的灌木幼苗或低矮灌木植株和草皮进行植被恢复，避免引入外来植物，形成生物入侵。</w:t>
      </w:r>
    </w:p>
    <w:p>
      <w:pPr>
        <w:ind w:firstLine="436" w:firstLineChars="182"/>
        <w:rPr>
          <w:rFonts w:hint="eastAsia" w:cs="Times New Roman"/>
        </w:rPr>
      </w:pPr>
      <w:r>
        <w:rPr>
          <w:rFonts w:hint="eastAsia" w:cs="Times New Roman"/>
        </w:rPr>
        <w:t>以此，可以最大程度减少工程施工减小评价区湿地面积的影响。</w:t>
      </w:r>
    </w:p>
    <w:p>
      <w:pPr>
        <w:ind w:firstLine="436" w:firstLineChars="182"/>
        <w:rPr>
          <w:rFonts w:hint="eastAsia" w:cs="Times New Roman"/>
        </w:rPr>
      </w:pPr>
      <w:r>
        <w:rPr>
          <w:rFonts w:hint="eastAsia" w:cs="Times New Roman"/>
        </w:rPr>
        <w:t>另外，相关管理部门引入的第三方“生态监理机构”在施工期的监理中应发挥严格的管理作用，严格控制施工活动范围，禁止多占用评价区内其他湿地类型地区开展施工活动。</w:t>
      </w:r>
    </w:p>
    <w:p>
      <w:pPr>
        <w:ind w:firstLine="562"/>
        <w:rPr>
          <w:rFonts w:hint="eastAsia" w:ascii="宋体" w:hAnsi="宋体" w:eastAsia="宋体" w:cs="Times New Roman"/>
          <w:b/>
          <w:kern w:val="2"/>
          <w:sz w:val="24"/>
          <w:szCs w:val="24"/>
          <w:lang w:val="en-US" w:eastAsia="zh-CN" w:bidi="ar-SA"/>
        </w:rPr>
      </w:pPr>
      <w:r>
        <w:rPr>
          <w:rFonts w:hint="eastAsia" w:ascii="宋体" w:hAnsi="宋体" w:eastAsia="宋体" w:cs="Times New Roman"/>
          <w:b/>
          <w:kern w:val="2"/>
          <w:sz w:val="24"/>
          <w:szCs w:val="24"/>
          <w:lang w:val="en-US" w:eastAsia="zh-CN" w:bidi="ar-SA"/>
        </w:rPr>
        <w:t>运营期：</w:t>
      </w:r>
    </w:p>
    <w:p>
      <w:pPr>
        <w:ind w:firstLine="436" w:firstLineChars="182"/>
        <w:rPr>
          <w:rFonts w:cs="Times New Roman"/>
        </w:rPr>
      </w:pPr>
      <w:r>
        <w:rPr>
          <w:rFonts w:hint="eastAsia" w:cs="Times New Roman"/>
        </w:rPr>
        <w:t>（1）在道路沿线设置符合湿地公园景观的垃圾桶，收集游客和道路通行人员产生的固体废弃物，同时安排专门的环卫人员，清理湿地公园沿线路段的固体废弃物，保护湿地公园的景观。</w:t>
      </w:r>
    </w:p>
    <w:p>
      <w:pPr>
        <w:ind w:firstLine="436" w:firstLineChars="182"/>
        <w:rPr>
          <w:rFonts w:cs="Times New Roman"/>
        </w:rPr>
      </w:pPr>
      <w:r>
        <w:rPr>
          <w:rFonts w:hint="eastAsia" w:cs="Times New Roman"/>
        </w:rPr>
        <w:t>（2）全面检查道路全线的施工</w:t>
      </w:r>
      <w:r>
        <w:rPr>
          <w:rFonts w:cs="Times New Roman"/>
        </w:rPr>
        <w:t>弃渣、弃土是否完全清理出湿地公园</w:t>
      </w:r>
      <w:r>
        <w:rPr>
          <w:rFonts w:hint="eastAsia" w:cs="Times New Roman"/>
        </w:rPr>
        <w:t>，</w:t>
      </w:r>
      <w:r>
        <w:rPr>
          <w:rFonts w:cs="Times New Roman"/>
        </w:rPr>
        <w:t>避免这些渣土影响</w:t>
      </w:r>
      <w:r>
        <w:rPr>
          <w:rFonts w:hint="eastAsia" w:cs="Times New Roman"/>
        </w:rPr>
        <w:t>湿地</w:t>
      </w:r>
      <w:r>
        <w:rPr>
          <w:rFonts w:cs="Times New Roman"/>
        </w:rPr>
        <w:t>公园景观</w:t>
      </w:r>
      <w:r>
        <w:rPr>
          <w:rFonts w:hint="eastAsia" w:cs="Times New Roman"/>
        </w:rPr>
        <w:t>。</w:t>
      </w:r>
    </w:p>
    <w:p>
      <w:pPr>
        <w:ind w:firstLine="436" w:firstLineChars="182"/>
        <w:rPr>
          <w:rFonts w:cs="Times New Roman"/>
        </w:rPr>
      </w:pPr>
      <w:r>
        <w:rPr>
          <w:rFonts w:hint="eastAsia" w:cs="Times New Roman"/>
        </w:rPr>
        <w:t>（3）湿地公园段禁止鸣笛，防止对湿地公园内的野生动物产生惊扰。</w:t>
      </w:r>
    </w:p>
    <w:p>
      <w:pPr>
        <w:ind w:firstLine="436" w:firstLineChars="182"/>
        <w:rPr>
          <w:rFonts w:cs="Times New Roman"/>
        </w:rPr>
      </w:pPr>
      <w:r>
        <w:rPr>
          <w:rFonts w:hint="eastAsia" w:cs="Times New Roman"/>
        </w:rPr>
        <w:t>（4）做好保护湿地公园的宣传工作，如设置湿地公园保护宣传标语、宣传知识栏等，增强附近群众、过往驾乘人员以及游客的保护意识。</w:t>
      </w:r>
    </w:p>
    <w:p>
      <w:pPr>
        <w:ind w:firstLine="436" w:firstLineChars="182"/>
        <w:rPr>
          <w:rFonts w:hint="eastAsia" w:eastAsia="宋体" w:cs="Times New Roman"/>
          <w:lang w:eastAsia="zh-CN"/>
        </w:rPr>
      </w:pPr>
      <w:r>
        <w:rPr>
          <w:rFonts w:hint="eastAsia" w:cs="Times New Roman"/>
        </w:rPr>
        <w:t>（5）恢复湿地面积，做到湿地资源“占补平衡”</w:t>
      </w:r>
      <w:r>
        <w:rPr>
          <w:rFonts w:hint="eastAsia" w:cs="Times New Roman"/>
          <w:lang w:eastAsia="zh-CN"/>
        </w:rPr>
        <w:t>。</w:t>
      </w:r>
    </w:p>
    <w:p>
      <w:pPr>
        <w:ind w:firstLine="436" w:firstLineChars="182"/>
        <w:rPr>
          <w:rFonts w:cs="Times New Roman"/>
        </w:rPr>
      </w:pPr>
      <w:r>
        <w:rPr>
          <w:rFonts w:hint="eastAsia" w:cs="Times New Roman"/>
          <w:highlight w:val="none"/>
        </w:rPr>
        <w:t>由于本项目在湿地公园内建设路基及边坡，总</w:t>
      </w:r>
      <w:r>
        <w:rPr>
          <w:rFonts w:hint="eastAsia" w:cs="Times New Roman"/>
          <w:highlight w:val="none"/>
          <w:lang w:val="en-US" w:eastAsia="zh-CN"/>
        </w:rPr>
        <w:t>用</w:t>
      </w:r>
      <w:r>
        <w:rPr>
          <w:rFonts w:hint="eastAsia" w:cs="Times New Roman"/>
          <w:highlight w:val="none"/>
        </w:rPr>
        <w:t>地面积</w:t>
      </w:r>
      <w:r>
        <w:rPr>
          <w:rFonts w:hint="eastAsia" w:cs="Times New Roman"/>
          <w:highlight w:val="none"/>
          <w:lang w:val="en-US" w:eastAsia="zh-CN"/>
        </w:rPr>
        <w:t xml:space="preserve">8.09 </w:t>
      </w:r>
      <w:r>
        <w:rPr>
          <w:rFonts w:hint="eastAsia" w:cs="Times New Roman"/>
          <w:highlight w:val="none"/>
        </w:rPr>
        <w:t>hm</w:t>
      </w:r>
      <w:r>
        <w:rPr>
          <w:rFonts w:hint="eastAsia" w:cs="Times New Roman"/>
          <w:highlight w:val="none"/>
          <w:vertAlign w:val="superscript"/>
        </w:rPr>
        <w:t>2</w:t>
      </w:r>
      <w:r>
        <w:rPr>
          <w:rFonts w:hint="eastAsia" w:cs="Times New Roman"/>
          <w:highlight w:val="none"/>
        </w:rPr>
        <w:t>，其中湿地面积</w:t>
      </w:r>
      <w:r>
        <w:rPr>
          <w:rFonts w:hint="eastAsia" w:cs="Times New Roman"/>
          <w:highlight w:val="none"/>
          <w:lang w:val="en-US" w:eastAsia="zh-CN"/>
        </w:rPr>
        <w:t xml:space="preserve">0.46 </w:t>
      </w:r>
      <w:r>
        <w:rPr>
          <w:rFonts w:hint="eastAsia" w:cs="Times New Roman"/>
          <w:highlight w:val="none"/>
        </w:rPr>
        <w:t>hm</w:t>
      </w:r>
      <w:r>
        <w:rPr>
          <w:rFonts w:hint="eastAsia" w:cs="Times New Roman"/>
          <w:highlight w:val="none"/>
          <w:vertAlign w:val="superscript"/>
        </w:rPr>
        <w:t>2</w:t>
      </w:r>
      <w:r>
        <w:rPr>
          <w:rFonts w:hint="eastAsia" w:cs="Times New Roman"/>
          <w:highlight w:val="none"/>
        </w:rPr>
        <w:t>，对湿地公园带来负面影响。</w:t>
      </w:r>
      <w:r>
        <w:rPr>
          <w:rFonts w:hint="eastAsia" w:cs="Times New Roman"/>
        </w:rPr>
        <w:t>因此本报告建议项目业主方应预算相应费用，在项目区上游河滩地或河岸区开展湿地恢复，弥补湿地公园因本项目建设而受损的湿地面积，做到湿地“占补平衡”，确保湿地面积不减少。</w:t>
      </w:r>
      <w:r>
        <w:rPr>
          <w:rFonts w:hint="eastAsia" w:cs="Times New Roman"/>
          <w:lang w:val="en-US" w:eastAsia="zh-CN"/>
        </w:rPr>
        <w:t>所谓湿地“占补平衡”，就是</w:t>
      </w:r>
      <w:r>
        <w:rPr>
          <w:rFonts w:hint="eastAsia" w:cs="Times New Roman"/>
        </w:rPr>
        <w:t>在湿地公园范围内按规定恢复或重建与所占湿地面积和质量相当的湿地</w:t>
      </w:r>
      <w:r>
        <w:rPr>
          <w:rFonts w:hint="eastAsia" w:cs="Times New Roman"/>
          <w:lang w:eastAsia="zh-CN"/>
        </w:rPr>
        <w:t>；</w:t>
      </w:r>
      <w:r>
        <w:rPr>
          <w:rFonts w:hint="eastAsia" w:cs="Times New Roman"/>
        </w:rPr>
        <w:t>没有条件恢复、重建的，应当按规定缴纳湿地恢复费。</w:t>
      </w:r>
    </w:p>
    <w:p>
      <w:pPr>
        <w:pStyle w:val="3"/>
        <w:numPr>
          <w:ilvl w:val="1"/>
          <w:numId w:val="0"/>
        </w:numPr>
        <w:ind w:leftChars="0"/>
        <w:rPr>
          <w:rFonts w:cs="Times New Roman"/>
        </w:rPr>
      </w:pPr>
      <w:bookmarkStart w:id="36" w:name="_Toc12159"/>
      <w:r>
        <w:rPr>
          <w:rFonts w:hint="eastAsia" w:cs="Times New Roman"/>
          <w:lang w:val="en-US" w:eastAsia="zh-CN"/>
        </w:rPr>
        <w:t xml:space="preserve">6.3 </w:t>
      </w:r>
      <w:r>
        <w:rPr>
          <w:rFonts w:cs="Times New Roman"/>
        </w:rPr>
        <w:t>湿地功能效益减缓措施</w:t>
      </w:r>
      <w:bookmarkEnd w:id="36"/>
    </w:p>
    <w:p>
      <w:pPr>
        <w:ind w:firstLine="480"/>
        <w:rPr>
          <w:rFonts w:cs="Times New Roman"/>
        </w:rPr>
      </w:pPr>
      <w:r>
        <w:rPr>
          <w:rFonts w:hint="eastAsia" w:cs="Times New Roman"/>
        </w:rPr>
        <w:t>由于阿坝县莲班路（安斗乡至罗云措沟段）的建设对社会效益和经济效益都是正向的影响，</w:t>
      </w:r>
      <w:r>
        <w:rPr>
          <w:rFonts w:hint="eastAsia" w:cs="Times New Roman"/>
          <w:lang w:eastAsia="zh-CN"/>
        </w:rPr>
        <w:t>但仍要重视项目建设</w:t>
      </w:r>
      <w:r>
        <w:rPr>
          <w:rFonts w:hint="eastAsia" w:cs="Times New Roman"/>
        </w:rPr>
        <w:t>对</w:t>
      </w:r>
      <w:r>
        <w:rPr>
          <w:rFonts w:cs="Times New Roman"/>
        </w:rPr>
        <w:t>湿地</w:t>
      </w:r>
      <w:r>
        <w:rPr>
          <w:rFonts w:hint="eastAsia" w:cs="Times New Roman"/>
          <w:lang w:eastAsia="zh-CN"/>
        </w:rPr>
        <w:t>生态</w:t>
      </w:r>
      <w:r>
        <w:rPr>
          <w:rFonts w:cs="Times New Roman"/>
        </w:rPr>
        <w:t>功能效益</w:t>
      </w:r>
      <w:r>
        <w:rPr>
          <w:rFonts w:hint="eastAsia" w:cs="Times New Roman"/>
          <w:lang w:eastAsia="zh-CN"/>
        </w:rPr>
        <w:t>的影响，并采取对应</w:t>
      </w:r>
      <w:r>
        <w:rPr>
          <w:rFonts w:hint="eastAsia" w:cs="Times New Roman"/>
        </w:rPr>
        <w:t>减缓措施。施工期产生的大量粉尘、废弃将飘散到评价区范围，造成评价区湿地的小气候调节功能减弱，因此，在施工期应采用湿法作业，降低区域的粉尘。另外，规范施工行为，做好施工组织，加强生态监理，严禁在湿地公园内进行各类施工物质和材料的堆放，严禁在湿地公园内取土挖沙，在工程正式建设前应做好水生态防护的各类措施。</w:t>
      </w:r>
    </w:p>
    <w:p>
      <w:pPr>
        <w:ind w:firstLine="480"/>
        <w:rPr>
          <w:rFonts w:cs="Times New Roman"/>
        </w:rPr>
      </w:pPr>
      <w:r>
        <w:rPr>
          <w:rFonts w:cs="Times New Roman"/>
        </w:rPr>
        <w:t>运营期</w:t>
      </w:r>
      <w:r>
        <w:rPr>
          <w:rFonts w:hint="eastAsia" w:cs="Times New Roman"/>
        </w:rPr>
        <w:t>，</w:t>
      </w:r>
      <w:r>
        <w:rPr>
          <w:rFonts w:cs="Times New Roman"/>
        </w:rPr>
        <w:t>制定道路交通事故以及危险化学品运输事故</w:t>
      </w:r>
      <w:r>
        <w:rPr>
          <w:rFonts w:hint="eastAsia" w:cs="Times New Roman"/>
        </w:rPr>
        <w:t>应急</w:t>
      </w:r>
      <w:r>
        <w:rPr>
          <w:rFonts w:cs="Times New Roman"/>
        </w:rPr>
        <w:t>预案</w:t>
      </w:r>
      <w:r>
        <w:rPr>
          <w:rFonts w:hint="eastAsia" w:cs="Times New Roman"/>
        </w:rPr>
        <w:t>、</w:t>
      </w:r>
      <w:r>
        <w:rPr>
          <w:rFonts w:cs="Times New Roman"/>
        </w:rPr>
        <w:t>风险减缓和应急措施，避免重大水体污染事故发生</w:t>
      </w:r>
      <w:r>
        <w:rPr>
          <w:rFonts w:hint="eastAsia" w:cs="Times New Roman"/>
        </w:rPr>
        <w:t>，</w:t>
      </w:r>
      <w:r>
        <w:rPr>
          <w:rFonts w:cs="Times New Roman"/>
        </w:rPr>
        <w:t>确保</w:t>
      </w:r>
      <w:r>
        <w:rPr>
          <w:rFonts w:hint="eastAsia" w:cs="Times New Roman"/>
        </w:rPr>
        <w:t>道路</w:t>
      </w:r>
      <w:r>
        <w:rPr>
          <w:rFonts w:cs="Times New Roman"/>
        </w:rPr>
        <w:t>运营不对湿地功能构成威胁。</w:t>
      </w:r>
    </w:p>
    <w:p>
      <w:pPr>
        <w:ind w:firstLine="480"/>
        <w:rPr>
          <w:rFonts w:cs="Times New Roman"/>
        </w:rPr>
      </w:pPr>
      <w:r>
        <w:rPr>
          <w:rFonts w:cs="Times New Roman"/>
        </w:rPr>
        <w:t>此外，本项目建成后将极大改善区域交通条件，给当地带来良好的社会效益和经济效益，有利于</w:t>
      </w:r>
      <w:r>
        <w:rPr>
          <w:rFonts w:hint="eastAsia" w:cs="Times New Roman"/>
          <w:lang w:val="en-US" w:eastAsia="zh-CN"/>
        </w:rPr>
        <w:t>阿坝</w:t>
      </w:r>
      <w:r>
        <w:rPr>
          <w:rFonts w:cs="Times New Roman"/>
        </w:rPr>
        <w:t>县的社会经济发展</w:t>
      </w:r>
      <w:r>
        <w:rPr>
          <w:rFonts w:hint="eastAsia" w:cs="Times New Roman"/>
        </w:rPr>
        <w:t>、</w:t>
      </w:r>
      <w:r>
        <w:rPr>
          <w:rFonts w:hint="eastAsia" w:cs="Times New Roman"/>
          <w:lang w:val="en-US" w:eastAsia="zh-CN"/>
        </w:rPr>
        <w:t>乡村振兴</w:t>
      </w:r>
      <w:r>
        <w:rPr>
          <w:rFonts w:cs="Times New Roman"/>
        </w:rPr>
        <w:t>和生态文明建设，正向影响显著。</w:t>
      </w:r>
    </w:p>
    <w:p>
      <w:pPr>
        <w:ind w:firstLine="480"/>
        <w:rPr>
          <w:rFonts w:cs="Times New Roman"/>
        </w:rPr>
      </w:pPr>
    </w:p>
    <w:p>
      <w:pPr>
        <w:widowControl/>
        <w:spacing w:line="240" w:lineRule="auto"/>
        <w:ind w:firstLine="0" w:firstLineChars="0"/>
        <w:jc w:val="left"/>
        <w:rPr>
          <w:rFonts w:cs="Times New Roman"/>
        </w:rPr>
      </w:pPr>
      <w:r>
        <w:rPr>
          <w:rFonts w:cs="Times New Roman"/>
        </w:rPr>
        <w:br w:type="page"/>
      </w:r>
    </w:p>
    <w:p>
      <w:pPr>
        <w:pStyle w:val="2"/>
        <w:numPr>
          <w:ilvl w:val="0"/>
          <w:numId w:val="0"/>
        </w:numPr>
        <w:ind w:leftChars="0"/>
        <w:rPr>
          <w:rFonts w:cs="Times New Roman"/>
        </w:rPr>
      </w:pPr>
      <w:bookmarkStart w:id="37" w:name="_Toc28657"/>
      <w:r>
        <w:rPr>
          <w:rFonts w:hint="eastAsia" w:cs="Times New Roman"/>
          <w:lang w:val="en-US" w:eastAsia="zh-CN"/>
        </w:rPr>
        <w:t xml:space="preserve">7 </w:t>
      </w:r>
      <w:r>
        <w:rPr>
          <w:rFonts w:cs="Times New Roman"/>
        </w:rPr>
        <w:t>评价结论</w:t>
      </w:r>
      <w:bookmarkEnd w:id="37"/>
    </w:p>
    <w:p>
      <w:pPr>
        <w:ind w:firstLine="480"/>
        <w:rPr>
          <w:rFonts w:cs="Times New Roman"/>
          <w:highlight w:val="none"/>
        </w:rPr>
      </w:pPr>
      <w:r>
        <w:rPr>
          <w:rFonts w:hint="eastAsia" w:cs="Times New Roman"/>
        </w:rPr>
        <w:t>根据阿坝县莲班路（安斗乡至罗云措沟段）美丽乡村路建设</w:t>
      </w:r>
      <w:r>
        <w:rPr>
          <w:rFonts w:hint="eastAsia" w:cs="Times New Roman"/>
          <w:lang w:val="en-US" w:eastAsia="zh-CN"/>
        </w:rPr>
        <w:t>可行性研究报告</w:t>
      </w:r>
      <w:r>
        <w:rPr>
          <w:rFonts w:hint="eastAsia" w:cs="Times New Roman"/>
        </w:rPr>
        <w:t>和四川阿坝莲宝叶则省级湿地公园总体规划等资料，阿坝县莲班路（安斗乡至罗云措沟段）美丽乡村路建设</w:t>
      </w:r>
      <w:r>
        <w:rPr>
          <w:rFonts w:hint="eastAsia" w:cs="Times New Roman"/>
          <w:lang w:val="en-US" w:eastAsia="zh-CN"/>
        </w:rPr>
        <w:t>的阿莲路段和珠姆措段共有</w:t>
      </w:r>
      <w:r>
        <w:rPr>
          <w:rFonts w:hint="eastAsia" w:cs="Times New Roman"/>
          <w:highlight w:val="none"/>
          <w:lang w:val="en-US" w:eastAsia="zh-CN"/>
        </w:rPr>
        <w:t>4段道路位于湿地公园内（珠姆措段K00+000-K9+099、K9+099-K10+074，阿莲路段K33+227-K33.599、K32+773-K33+227）</w:t>
      </w:r>
      <w:r>
        <w:rPr>
          <w:rFonts w:hint="eastAsia" w:cs="Times New Roman"/>
        </w:rPr>
        <w:t>，在原有县乡公路的基础上进行改建。</w:t>
      </w:r>
      <w:r>
        <w:rPr>
          <w:rFonts w:hint="eastAsia" w:cs="Times New Roman"/>
          <w:highlight w:val="none"/>
        </w:rPr>
        <w:t>原公路路基宽</w:t>
      </w:r>
      <w:r>
        <w:rPr>
          <w:rFonts w:hint="eastAsia" w:cs="Times New Roman"/>
          <w:highlight w:val="none"/>
          <w:lang w:val="en-US" w:eastAsia="zh-CN"/>
        </w:rPr>
        <w:t xml:space="preserve">6.5 </w:t>
      </w:r>
      <w:r>
        <w:rPr>
          <w:rFonts w:cs="Times New Roman"/>
          <w:highlight w:val="none"/>
        </w:rPr>
        <w:t>m</w:t>
      </w:r>
      <w:r>
        <w:rPr>
          <w:rFonts w:hint="eastAsia" w:cs="Times New Roman"/>
          <w:highlight w:val="none"/>
        </w:rPr>
        <w:t>，改建后路基宽</w:t>
      </w:r>
      <w:r>
        <w:rPr>
          <w:rFonts w:hint="eastAsia" w:cs="Times New Roman"/>
          <w:highlight w:val="none"/>
          <w:lang w:val="en-US" w:eastAsia="zh-CN"/>
        </w:rPr>
        <w:t>6.5-8</w:t>
      </w:r>
      <w:r>
        <w:rPr>
          <w:rFonts w:cs="Times New Roman"/>
          <w:highlight w:val="none"/>
        </w:rPr>
        <w:t>.5m</w:t>
      </w:r>
      <w:r>
        <w:rPr>
          <w:rFonts w:hint="eastAsia" w:cs="Times New Roman"/>
          <w:highlight w:val="none"/>
        </w:rPr>
        <w:t>，路面为沥青混凝土。</w:t>
      </w:r>
      <w:r>
        <w:rPr>
          <w:rFonts w:hint="eastAsia" w:cs="Times New Roman"/>
          <w:highlight w:val="none"/>
          <w:lang w:val="en-US" w:eastAsia="zh-CN"/>
        </w:rPr>
        <w:t>4</w:t>
      </w:r>
      <w:r>
        <w:rPr>
          <w:rFonts w:hint="eastAsia" w:cs="Times New Roman"/>
          <w:highlight w:val="none"/>
        </w:rPr>
        <w:t>段道路路基穿越</w:t>
      </w:r>
      <w:r>
        <w:rPr>
          <w:rFonts w:hint="eastAsia" w:cs="Times New Roman"/>
          <w:highlight w:val="none"/>
          <w:lang w:val="en-US" w:eastAsia="zh-CN"/>
        </w:rPr>
        <w:t>综合利用</w:t>
      </w:r>
      <w:r>
        <w:rPr>
          <w:rFonts w:hint="eastAsia" w:cs="Times New Roman"/>
          <w:highlight w:val="none"/>
        </w:rPr>
        <w:t>区长度</w:t>
      </w:r>
      <w:r>
        <w:rPr>
          <w:rFonts w:hint="eastAsia" w:cs="Times New Roman"/>
          <w:highlight w:val="none"/>
          <w:lang w:val="en-US" w:eastAsia="zh-CN"/>
        </w:rPr>
        <w:t xml:space="preserve">9471 </w:t>
      </w:r>
      <w:r>
        <w:rPr>
          <w:rFonts w:hint="eastAsia" w:cs="Times New Roman"/>
          <w:highlight w:val="none"/>
        </w:rPr>
        <w:t>m，穿越</w:t>
      </w:r>
      <w:r>
        <w:rPr>
          <w:rFonts w:hint="eastAsia" w:cs="Times New Roman"/>
          <w:highlight w:val="none"/>
          <w:lang w:val="en-US" w:eastAsia="zh-CN"/>
        </w:rPr>
        <w:t>湿地宣教</w:t>
      </w:r>
      <w:r>
        <w:rPr>
          <w:rFonts w:hint="eastAsia" w:cs="Times New Roman"/>
          <w:highlight w:val="none"/>
        </w:rPr>
        <w:t>区长度</w:t>
      </w:r>
      <w:r>
        <w:rPr>
          <w:rFonts w:hint="eastAsia" w:cs="Times New Roman"/>
          <w:highlight w:val="none"/>
          <w:lang w:val="en-US" w:eastAsia="zh-CN"/>
        </w:rPr>
        <w:t xml:space="preserve">975 </w:t>
      </w:r>
      <w:r>
        <w:rPr>
          <w:rFonts w:hint="eastAsia" w:cs="Times New Roman"/>
          <w:highlight w:val="none"/>
        </w:rPr>
        <w:t>m</w:t>
      </w:r>
      <w:r>
        <w:rPr>
          <w:rFonts w:hint="eastAsia" w:cs="Times New Roman"/>
          <w:highlight w:val="none"/>
          <w:lang w:eastAsia="zh-CN"/>
        </w:rPr>
        <w:t>，</w:t>
      </w:r>
      <w:r>
        <w:rPr>
          <w:rFonts w:hint="eastAsia" w:cs="Times New Roman"/>
          <w:highlight w:val="none"/>
        </w:rPr>
        <w:t>穿越</w:t>
      </w:r>
      <w:r>
        <w:rPr>
          <w:rFonts w:hint="eastAsia" w:cs="Times New Roman"/>
          <w:highlight w:val="none"/>
          <w:lang w:val="en-US" w:eastAsia="zh-CN"/>
        </w:rPr>
        <w:t>管理服务</w:t>
      </w:r>
      <w:r>
        <w:rPr>
          <w:rFonts w:hint="eastAsia" w:cs="Times New Roman"/>
          <w:highlight w:val="none"/>
        </w:rPr>
        <w:t>区长度</w:t>
      </w:r>
      <w:r>
        <w:rPr>
          <w:rFonts w:hint="eastAsia" w:cs="Times New Roman"/>
          <w:highlight w:val="none"/>
          <w:lang w:val="en-US" w:eastAsia="zh-CN"/>
        </w:rPr>
        <w:t xml:space="preserve">454 </w:t>
      </w:r>
      <w:r>
        <w:rPr>
          <w:rFonts w:hint="eastAsia" w:cs="Times New Roman"/>
          <w:highlight w:val="none"/>
        </w:rPr>
        <w:t>m。项目在湿地公园内永久</w:t>
      </w:r>
      <w:r>
        <w:rPr>
          <w:rFonts w:hint="eastAsia" w:cs="Times New Roman"/>
          <w:highlight w:val="none"/>
          <w:lang w:val="en-US" w:eastAsia="zh-CN"/>
        </w:rPr>
        <w:t>占</w:t>
      </w:r>
      <w:r>
        <w:rPr>
          <w:rFonts w:hint="eastAsia" w:cs="Times New Roman"/>
          <w:highlight w:val="none"/>
        </w:rPr>
        <w:t>地面积</w:t>
      </w:r>
      <w:r>
        <w:rPr>
          <w:rFonts w:hint="eastAsia" w:cs="Times New Roman"/>
          <w:highlight w:val="none"/>
          <w:lang w:val="en-US" w:eastAsia="zh-CN"/>
        </w:rPr>
        <w:t xml:space="preserve">8.09 </w:t>
      </w:r>
      <w:r>
        <w:rPr>
          <w:rFonts w:cs="Times New Roman"/>
          <w:highlight w:val="none"/>
        </w:rPr>
        <w:t>hm</w:t>
      </w:r>
      <w:r>
        <w:rPr>
          <w:rFonts w:cs="Times New Roman"/>
          <w:highlight w:val="none"/>
          <w:vertAlign w:val="superscript"/>
        </w:rPr>
        <w:t>2</w:t>
      </w:r>
      <w:r>
        <w:rPr>
          <w:rFonts w:hint="eastAsia" w:cs="Times New Roman"/>
          <w:highlight w:val="none"/>
        </w:rPr>
        <w:t>，其中</w:t>
      </w:r>
      <w:r>
        <w:rPr>
          <w:rFonts w:hint="eastAsia" w:cs="Times New Roman"/>
          <w:highlight w:val="none"/>
          <w:lang w:val="en-US" w:eastAsia="zh-CN"/>
        </w:rPr>
        <w:t>湿地宣教</w:t>
      </w:r>
      <w:r>
        <w:rPr>
          <w:rFonts w:hint="eastAsia" w:cs="Times New Roman"/>
          <w:highlight w:val="none"/>
        </w:rPr>
        <w:t>区内</w:t>
      </w:r>
      <w:r>
        <w:rPr>
          <w:rFonts w:hint="eastAsia" w:cs="Times New Roman"/>
          <w:highlight w:val="none"/>
          <w:lang w:val="en-US" w:eastAsia="zh-CN"/>
        </w:rPr>
        <w:t>0.73</w:t>
      </w:r>
      <w:r>
        <w:rPr>
          <w:rFonts w:cs="Times New Roman"/>
          <w:highlight w:val="none"/>
        </w:rPr>
        <w:t>hm</w:t>
      </w:r>
      <w:r>
        <w:rPr>
          <w:rFonts w:cs="Times New Roman"/>
          <w:highlight w:val="none"/>
          <w:vertAlign w:val="superscript"/>
        </w:rPr>
        <w:t>2</w:t>
      </w:r>
      <w:r>
        <w:rPr>
          <w:rFonts w:hint="eastAsia" w:cs="Times New Roman"/>
          <w:highlight w:val="none"/>
        </w:rPr>
        <w:t>、</w:t>
      </w:r>
      <w:r>
        <w:rPr>
          <w:rFonts w:hint="eastAsia" w:cs="Times New Roman"/>
          <w:highlight w:val="none"/>
          <w:lang w:val="en-US" w:eastAsia="zh-CN"/>
        </w:rPr>
        <w:t>管理服务</w:t>
      </w:r>
      <w:r>
        <w:rPr>
          <w:rFonts w:hint="eastAsia" w:cs="Times New Roman"/>
          <w:highlight w:val="none"/>
        </w:rPr>
        <w:t>区</w:t>
      </w:r>
      <w:r>
        <w:rPr>
          <w:rFonts w:hint="eastAsia" w:cs="Times New Roman"/>
          <w:highlight w:val="none"/>
          <w:lang w:eastAsia="zh-CN"/>
        </w:rPr>
        <w:t>内</w:t>
      </w:r>
      <w:r>
        <w:rPr>
          <w:rFonts w:hint="eastAsia" w:cs="Times New Roman"/>
          <w:highlight w:val="none"/>
          <w:lang w:val="en-US" w:eastAsia="zh-CN"/>
        </w:rPr>
        <w:t xml:space="preserve">0.30 </w:t>
      </w:r>
      <w:r>
        <w:rPr>
          <w:rFonts w:cs="Times New Roman"/>
          <w:highlight w:val="none"/>
        </w:rPr>
        <w:t>hm</w:t>
      </w:r>
      <w:r>
        <w:rPr>
          <w:rFonts w:cs="Times New Roman"/>
          <w:highlight w:val="none"/>
          <w:vertAlign w:val="superscript"/>
        </w:rPr>
        <w:t>2</w:t>
      </w:r>
      <w:r>
        <w:rPr>
          <w:rFonts w:hint="eastAsia" w:cs="Times New Roman"/>
          <w:highlight w:val="none"/>
        </w:rPr>
        <w:t>、</w:t>
      </w:r>
      <w:r>
        <w:rPr>
          <w:rFonts w:hint="eastAsia" w:cs="Times New Roman"/>
          <w:highlight w:val="none"/>
          <w:lang w:val="en-US" w:eastAsia="zh-CN"/>
        </w:rPr>
        <w:t>综合</w:t>
      </w:r>
      <w:r>
        <w:rPr>
          <w:rFonts w:cs="Times New Roman"/>
          <w:highlight w:val="none"/>
        </w:rPr>
        <w:t>利用区内</w:t>
      </w:r>
      <w:r>
        <w:rPr>
          <w:rFonts w:hint="eastAsia" w:cs="Times New Roman"/>
          <w:highlight w:val="none"/>
          <w:lang w:val="en-US" w:eastAsia="zh-CN"/>
        </w:rPr>
        <w:t xml:space="preserve">7.06 </w:t>
      </w:r>
      <w:r>
        <w:rPr>
          <w:rFonts w:cs="Times New Roman"/>
          <w:highlight w:val="none"/>
        </w:rPr>
        <w:t>hm</w:t>
      </w:r>
      <w:r>
        <w:rPr>
          <w:rFonts w:cs="Times New Roman"/>
          <w:highlight w:val="none"/>
          <w:vertAlign w:val="superscript"/>
        </w:rPr>
        <w:t>2</w:t>
      </w:r>
      <w:r>
        <w:rPr>
          <w:rFonts w:hint="eastAsia" w:cs="Times New Roman"/>
          <w:highlight w:val="none"/>
        </w:rPr>
        <w:t>。占用湿地面积</w:t>
      </w:r>
      <w:r>
        <w:rPr>
          <w:rFonts w:hint="eastAsia" w:cs="Times New Roman"/>
          <w:highlight w:val="none"/>
          <w:lang w:val="en-US" w:eastAsia="zh-CN"/>
        </w:rPr>
        <w:t xml:space="preserve">0.46 </w:t>
      </w:r>
      <w:r>
        <w:rPr>
          <w:rFonts w:hint="eastAsia" w:cs="Times New Roman"/>
          <w:highlight w:val="none"/>
        </w:rPr>
        <w:t>hm</w:t>
      </w:r>
      <w:r>
        <w:rPr>
          <w:rFonts w:hint="eastAsia" w:cs="Times New Roman"/>
          <w:highlight w:val="none"/>
          <w:vertAlign w:val="superscript"/>
        </w:rPr>
        <w:t>2</w:t>
      </w:r>
      <w:r>
        <w:rPr>
          <w:rFonts w:hint="eastAsia" w:cs="Times New Roman"/>
          <w:highlight w:val="none"/>
        </w:rPr>
        <w:t>（为湿地公园边缘区域，实地调查为河岸陆地区</w:t>
      </w:r>
      <w:r>
        <w:rPr>
          <w:rFonts w:hint="eastAsia" w:cs="Times New Roman"/>
          <w:highlight w:val="none"/>
          <w:lang w:val="en-US" w:eastAsia="zh-CN"/>
        </w:rPr>
        <w:t>以及草地</w:t>
      </w:r>
      <w:r>
        <w:rPr>
          <w:rFonts w:hint="eastAsia" w:cs="Times New Roman"/>
          <w:highlight w:val="none"/>
        </w:rPr>
        <w:t>），</w:t>
      </w:r>
      <w:r>
        <w:rPr>
          <w:rFonts w:hint="eastAsia" w:cs="Times New Roman"/>
          <w:highlight w:val="none"/>
          <w:lang w:eastAsia="zh-CN"/>
        </w:rPr>
        <w:t>占用</w:t>
      </w:r>
      <w:r>
        <w:rPr>
          <w:rFonts w:hint="eastAsia" w:cs="Times New Roman"/>
          <w:highlight w:val="none"/>
        </w:rPr>
        <w:t>一般陆地面积</w:t>
      </w:r>
      <w:r>
        <w:rPr>
          <w:rFonts w:hint="eastAsia" w:cs="Times New Roman"/>
          <w:highlight w:val="none"/>
          <w:lang w:val="en-US" w:eastAsia="zh-CN"/>
        </w:rPr>
        <w:t>7.63</w:t>
      </w:r>
      <w:r>
        <w:rPr>
          <w:rFonts w:hint="eastAsia" w:cs="Times New Roman"/>
          <w:highlight w:val="none"/>
        </w:rPr>
        <w:t xml:space="preserve"> hm</w:t>
      </w:r>
      <w:r>
        <w:rPr>
          <w:rFonts w:hint="eastAsia" w:cs="Times New Roman"/>
          <w:highlight w:val="none"/>
          <w:vertAlign w:val="superscript"/>
        </w:rPr>
        <w:t>2</w:t>
      </w:r>
      <w:r>
        <w:rPr>
          <w:rFonts w:hint="eastAsia" w:cs="Times New Roman"/>
          <w:highlight w:val="none"/>
        </w:rPr>
        <w:t>。</w:t>
      </w:r>
    </w:p>
    <w:p>
      <w:pPr>
        <w:ind w:firstLine="480"/>
        <w:rPr>
          <w:rFonts w:cs="Times New Roman"/>
        </w:rPr>
      </w:pPr>
      <w:r>
        <w:rPr>
          <w:rFonts w:cs="Times New Roman"/>
        </w:rPr>
        <w:t>本报告在实地调查、资料收集、室内数据整理分析基础上，对该建设项目</w:t>
      </w:r>
      <w:r>
        <w:rPr>
          <w:rFonts w:hint="eastAsia" w:cs="Times New Roman"/>
          <w:lang w:val="en-US" w:eastAsia="zh-CN"/>
        </w:rPr>
        <w:t>建设期和</w:t>
      </w:r>
      <w:r>
        <w:rPr>
          <w:rFonts w:cs="Times New Roman"/>
          <w:highlight w:val="none"/>
        </w:rPr>
        <w:t>运营期对</w:t>
      </w:r>
      <w:r>
        <w:rPr>
          <w:rFonts w:cs="Times New Roman"/>
        </w:rPr>
        <w:t>湿地公园生态环境、湿地景观资源、湿地保护与可持续利用、湿地功能效益4个方面的影响进行了分析评估，</w:t>
      </w:r>
      <w:r>
        <w:rPr>
          <w:rFonts w:hint="eastAsia" w:cs="Times New Roman"/>
        </w:rPr>
        <w:t>阿坝县莲班路（安斗乡至罗云措沟段）美丽乡村路建设</w:t>
      </w:r>
      <w:r>
        <w:rPr>
          <w:rFonts w:cs="Times New Roman"/>
        </w:rPr>
        <w:t>在</w:t>
      </w:r>
      <w:r>
        <w:rPr>
          <w:rFonts w:hint="eastAsia" w:cs="Times New Roman"/>
          <w:lang w:val="en-US" w:eastAsia="zh-CN"/>
        </w:rPr>
        <w:t>建设期和</w:t>
      </w:r>
      <w:r>
        <w:rPr>
          <w:rFonts w:hint="eastAsia" w:cs="Times New Roman"/>
          <w:highlight w:val="none"/>
        </w:rPr>
        <w:t>运营期</w:t>
      </w:r>
      <w:r>
        <w:rPr>
          <w:rFonts w:cs="Times New Roman"/>
          <w:highlight w:val="none"/>
        </w:rPr>
        <w:t>对湿</w:t>
      </w:r>
      <w:r>
        <w:rPr>
          <w:rFonts w:cs="Times New Roman"/>
        </w:rPr>
        <w:t>地公园生态环境</w:t>
      </w:r>
      <w:r>
        <w:rPr>
          <w:rFonts w:hint="eastAsia" w:cs="Times New Roman"/>
        </w:rPr>
        <w:t>、</w:t>
      </w:r>
      <w:r>
        <w:rPr>
          <w:rFonts w:cs="Times New Roman"/>
        </w:rPr>
        <w:t>景观资源</w:t>
      </w:r>
      <w:r>
        <w:rPr>
          <w:rFonts w:hint="eastAsia" w:cs="Times New Roman"/>
        </w:rPr>
        <w:t>以及</w:t>
      </w:r>
      <w:r>
        <w:rPr>
          <w:rFonts w:cs="Times New Roman"/>
        </w:rPr>
        <w:t>陆生动植物的影响较小</w:t>
      </w:r>
      <w:r>
        <w:rPr>
          <w:rFonts w:hint="eastAsia" w:cs="Times New Roman"/>
        </w:rPr>
        <w:t>。</w:t>
      </w:r>
    </w:p>
    <w:p>
      <w:pPr>
        <w:ind w:firstLine="480"/>
        <w:rPr>
          <w:rFonts w:cs="Times New Roman"/>
        </w:rPr>
      </w:pPr>
      <w:r>
        <w:rPr>
          <w:rFonts w:cs="Times New Roman"/>
        </w:rPr>
        <w:t>本报告针对该项目在运营期对湿地公园带来的负面影响提出了对应的措施建议，主要包括：</w:t>
      </w:r>
    </w:p>
    <w:p>
      <w:pPr>
        <w:ind w:firstLine="480"/>
        <w:rPr>
          <w:rFonts w:cs="Times New Roman"/>
        </w:rPr>
      </w:pPr>
      <w:r>
        <w:rPr>
          <w:rFonts w:hint="eastAsia" w:cs="Times New Roman"/>
        </w:rPr>
        <w:t>（1）</w:t>
      </w:r>
      <w:r>
        <w:rPr>
          <w:rFonts w:hint="eastAsia"/>
        </w:rPr>
        <w:t>公路靠近</w:t>
      </w:r>
      <w:r>
        <w:t>湿地公园处在醒目位置设置限速、禁止超车</w:t>
      </w:r>
      <w:r>
        <w:rPr>
          <w:rFonts w:hint="eastAsia"/>
        </w:rPr>
        <w:t>、</w:t>
      </w:r>
      <w:r>
        <w:t>禁止</w:t>
      </w:r>
      <w:r>
        <w:rPr>
          <w:rFonts w:hint="eastAsia"/>
        </w:rPr>
        <w:t>采摘</w:t>
      </w:r>
      <w:r>
        <w:t>野生植物</w:t>
      </w:r>
      <w:r>
        <w:rPr>
          <w:rFonts w:hint="eastAsia"/>
        </w:rPr>
        <w:t>、</w:t>
      </w:r>
      <w:r>
        <w:rPr>
          <w:rFonts w:cs="Times New Roman"/>
        </w:rPr>
        <w:t>禁止鸣笛</w:t>
      </w:r>
      <w:r>
        <w:t>等警示标志</w:t>
      </w:r>
      <w:r>
        <w:rPr>
          <w:rFonts w:hint="eastAsia"/>
        </w:rPr>
        <w:t>，</w:t>
      </w:r>
      <w:r>
        <w:t>降低对湿地公园及其动植物的干扰</w:t>
      </w:r>
      <w:r>
        <w:rPr>
          <w:rFonts w:hint="eastAsia"/>
        </w:rPr>
        <w:t>。</w:t>
      </w:r>
    </w:p>
    <w:p>
      <w:pPr>
        <w:ind w:firstLine="480"/>
        <w:rPr>
          <w:rFonts w:cs="Times New Roman"/>
        </w:rPr>
      </w:pPr>
      <w:r>
        <w:rPr>
          <w:rFonts w:cs="Times New Roman"/>
        </w:rPr>
        <w:t>（</w:t>
      </w:r>
      <w:r>
        <w:rPr>
          <w:rFonts w:hint="eastAsia" w:cs="Times New Roman"/>
        </w:rPr>
        <w:t>2</w:t>
      </w:r>
      <w:r>
        <w:rPr>
          <w:rFonts w:cs="Times New Roman"/>
        </w:rPr>
        <w:t>）加强对有毒、有害及燃油、废弃油污等重污染源的管理，制定事故应急预案，确保</w:t>
      </w:r>
      <w:r>
        <w:rPr>
          <w:rFonts w:hint="eastAsia" w:cs="Times New Roman"/>
          <w:highlight w:val="none"/>
          <w:lang w:val="en-US" w:eastAsia="zh-CN"/>
        </w:rPr>
        <w:t>周围</w:t>
      </w:r>
      <w:r>
        <w:rPr>
          <w:rFonts w:cs="Times New Roman"/>
        </w:rPr>
        <w:t>水质不受污染。</w:t>
      </w:r>
    </w:p>
    <w:p>
      <w:pPr>
        <w:ind w:firstLine="480"/>
        <w:rPr>
          <w:rFonts w:cs="Times New Roman"/>
        </w:rPr>
      </w:pPr>
      <w:r>
        <w:rPr>
          <w:rFonts w:hint="eastAsia" w:cs="Times New Roman"/>
        </w:rPr>
        <w:t>（3）在道路沿线</w:t>
      </w:r>
      <w:r>
        <w:rPr>
          <w:rFonts w:hint="eastAsia" w:cs="Times New Roman"/>
          <w:lang w:eastAsia="zh-CN"/>
        </w:rPr>
        <w:t>人员密集路段</w:t>
      </w:r>
      <w:r>
        <w:rPr>
          <w:rFonts w:hint="eastAsia" w:cs="Times New Roman"/>
        </w:rPr>
        <w:t>设置符合湿地公园景观的垃圾桶，收集游客和道路通行人员产生的固体废弃物，同时安排专门的环卫人员，清理湿地公园沿线路段的固体废弃物，保护湿地公园的景观。</w:t>
      </w:r>
    </w:p>
    <w:p>
      <w:pPr>
        <w:ind w:firstLine="480"/>
        <w:rPr>
          <w:rFonts w:cs="Times New Roman"/>
        </w:rPr>
      </w:pPr>
      <w:r>
        <w:rPr>
          <w:rFonts w:hint="eastAsia" w:cs="Times New Roman"/>
        </w:rPr>
        <w:t>（4）建议项目业主方应预算相应费用，在湿地公园内退化湿地区域结合湿地恢复区的情况开展湿地恢复，弥补湿地公园因本项目建设而受损的湿地面积，做到湿地“占补平衡”，确保湿地面积不减少。</w:t>
      </w:r>
    </w:p>
    <w:p>
      <w:pPr>
        <w:ind w:firstLine="480"/>
        <w:rPr>
          <w:rFonts w:cs="Times New Roman"/>
        </w:rPr>
      </w:pPr>
      <w:r>
        <w:rPr>
          <w:rFonts w:hint="eastAsia" w:cs="Times New Roman"/>
          <w:lang w:eastAsia="zh-CN"/>
        </w:rPr>
        <w:t>总之，</w:t>
      </w:r>
      <w:r>
        <w:rPr>
          <w:rFonts w:cs="Times New Roman"/>
        </w:rPr>
        <w:t>本项目建成后</w:t>
      </w:r>
      <w:r>
        <w:rPr>
          <w:rFonts w:hint="eastAsia" w:cs="Times New Roman"/>
          <w:lang w:eastAsia="zh-CN"/>
        </w:rPr>
        <w:t>可进一步</w:t>
      </w:r>
      <w:r>
        <w:rPr>
          <w:rFonts w:cs="Times New Roman"/>
        </w:rPr>
        <w:t>改善</w:t>
      </w:r>
      <w:r>
        <w:rPr>
          <w:rFonts w:hint="eastAsia" w:cs="Times New Roman"/>
          <w:lang w:val="en-US" w:eastAsia="zh-CN"/>
        </w:rPr>
        <w:t>莲宝叶则</w:t>
      </w:r>
      <w:r>
        <w:rPr>
          <w:rFonts w:cs="Times New Roman"/>
        </w:rPr>
        <w:t>湿地公园交通条件，完善区域路网交通，</w:t>
      </w:r>
      <w:r>
        <w:rPr>
          <w:rFonts w:hint="eastAsia" w:cs="Times New Roman"/>
          <w:lang w:eastAsia="zh-CN"/>
        </w:rPr>
        <w:t>对</w:t>
      </w:r>
      <w:r>
        <w:rPr>
          <w:rFonts w:cs="Times New Roman"/>
        </w:rPr>
        <w:t>促进</w:t>
      </w:r>
      <w:r>
        <w:rPr>
          <w:rFonts w:hint="eastAsia" w:cs="Times New Roman"/>
          <w:lang w:val="en-US" w:eastAsia="zh-CN"/>
        </w:rPr>
        <w:t>阿坝</w:t>
      </w:r>
      <w:r>
        <w:rPr>
          <w:rFonts w:cs="Times New Roman"/>
        </w:rPr>
        <w:t>县</w:t>
      </w:r>
      <w:r>
        <w:rPr>
          <w:rFonts w:hint="eastAsia" w:cs="Times New Roman"/>
          <w:lang w:eastAsia="zh-CN"/>
        </w:rPr>
        <w:t>及</w:t>
      </w:r>
      <w:r>
        <w:rPr>
          <w:rFonts w:cs="Times New Roman"/>
        </w:rPr>
        <w:t>周边区域社会、经济、文化交流以及推动</w:t>
      </w:r>
      <w:r>
        <w:rPr>
          <w:rFonts w:hint="eastAsia" w:cs="Times New Roman"/>
          <w:lang w:eastAsia="zh-CN"/>
        </w:rPr>
        <w:t>区域</w:t>
      </w:r>
      <w:r>
        <w:rPr>
          <w:rFonts w:cs="Times New Roman"/>
        </w:rPr>
        <w:t>湿地</w:t>
      </w:r>
      <w:r>
        <w:rPr>
          <w:rFonts w:hint="eastAsia" w:cs="Times New Roman"/>
          <w:lang w:eastAsia="zh-CN"/>
        </w:rPr>
        <w:t>生态</w:t>
      </w:r>
      <w:r>
        <w:rPr>
          <w:rFonts w:cs="Times New Roman"/>
        </w:rPr>
        <w:t>旅游发展、湿地科普宣教以及</w:t>
      </w:r>
      <w:r>
        <w:rPr>
          <w:rFonts w:hint="eastAsia" w:cs="Times New Roman"/>
          <w:lang w:eastAsia="zh-CN"/>
        </w:rPr>
        <w:t>社会</w:t>
      </w:r>
      <w:r>
        <w:rPr>
          <w:rFonts w:cs="Times New Roman"/>
        </w:rPr>
        <w:t>经济发展等方面</w:t>
      </w:r>
      <w:r>
        <w:rPr>
          <w:rFonts w:hint="eastAsia" w:cs="Times New Roman"/>
          <w:lang w:eastAsia="zh-CN"/>
        </w:rPr>
        <w:t>具有</w:t>
      </w:r>
      <w:r>
        <w:rPr>
          <w:rFonts w:cs="Times New Roman"/>
        </w:rPr>
        <w:t>重要意义，在落实本报告提出的各项保护减缓措施的前提下</w:t>
      </w:r>
      <w:r>
        <w:rPr>
          <w:rFonts w:hint="eastAsia" w:cs="Times New Roman"/>
        </w:rPr>
        <w:t>，</w:t>
      </w:r>
      <w:r>
        <w:rPr>
          <w:rFonts w:hint="eastAsia" w:cs="Times New Roman"/>
          <w:lang w:eastAsia="zh-CN"/>
        </w:rPr>
        <w:t>该</w:t>
      </w:r>
      <w:r>
        <w:rPr>
          <w:rFonts w:cs="Times New Roman"/>
        </w:rPr>
        <w:t>工程建设</w:t>
      </w:r>
      <w:r>
        <w:rPr>
          <w:rFonts w:hint="eastAsia" w:cs="Times New Roman"/>
        </w:rPr>
        <w:t>和运营</w:t>
      </w:r>
      <w:r>
        <w:rPr>
          <w:rFonts w:cs="Times New Roman"/>
        </w:rPr>
        <w:t>对湿地公园的不利影响能控制在湿地公园可承受的范围</w:t>
      </w:r>
      <w:r>
        <w:rPr>
          <w:rFonts w:hint="eastAsia" w:cs="Times New Roman"/>
        </w:rPr>
        <w:t>，</w:t>
      </w:r>
      <w:r>
        <w:rPr>
          <w:rFonts w:cs="Times New Roman"/>
        </w:rPr>
        <w:t>项目</w:t>
      </w:r>
      <w:r>
        <w:rPr>
          <w:rFonts w:hint="eastAsia" w:cs="Times New Roman"/>
        </w:rPr>
        <w:t>进入</w:t>
      </w:r>
      <w:r>
        <w:rPr>
          <w:rFonts w:cs="Times New Roman"/>
        </w:rPr>
        <w:t>四川</w:t>
      </w:r>
      <w:r>
        <w:rPr>
          <w:rFonts w:hint="eastAsia" w:cs="Times New Roman"/>
          <w:lang w:val="en-US" w:eastAsia="zh-CN"/>
        </w:rPr>
        <w:t>阿坝莲宝叶则</w:t>
      </w:r>
      <w:r>
        <w:rPr>
          <w:rFonts w:cs="Times New Roman"/>
        </w:rPr>
        <w:t>湿地公园具有可行性。</w:t>
      </w:r>
    </w:p>
    <w:p>
      <w:pPr>
        <w:ind w:firstLine="480"/>
        <w:rPr>
          <w:rFonts w:cs="Times New Roman"/>
        </w:rPr>
      </w:pPr>
    </w:p>
    <w:p>
      <w:pPr>
        <w:ind w:firstLine="480"/>
        <w:rPr>
          <w:rFonts w:cs="Times New Roman"/>
        </w:rPr>
      </w:pPr>
    </w:p>
    <w:p>
      <w:pPr>
        <w:ind w:firstLine="480"/>
        <w:rPr>
          <w:rFonts w:cs="Times New Roman"/>
        </w:rPr>
        <w:sectPr>
          <w:footerReference r:id="rId19"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pPr>
        <w:ind w:left="0" w:leftChars="0" w:firstLine="0" w:firstLineChars="0"/>
        <w:rPr>
          <w:rFonts w:hint="eastAsia" w:ascii="黑体" w:hAnsi="黑体" w:eastAsia="黑体" w:cs="黑体"/>
          <w:b/>
          <w:bCs/>
          <w:sz w:val="32"/>
          <w:szCs w:val="32"/>
          <w:lang w:val="en-US" w:eastAsia="zh-CN"/>
        </w:rPr>
        <w:sectPr>
          <w:footerReference r:id="rId20"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pPr>
        <w:ind w:left="0" w:leftChars="0" w:firstLine="0" w:firstLineChars="0"/>
        <w:rPr>
          <w:rFonts w:hint="eastAsia" w:ascii="黑体" w:hAnsi="黑体" w:eastAsia="黑体" w:cs="黑体"/>
          <w:b/>
          <w:bCs/>
          <w:sz w:val="32"/>
          <w:szCs w:val="32"/>
          <w:lang w:val="en-US" w:eastAsia="zh-CN"/>
        </w:rPr>
      </w:pPr>
      <w:r>
        <w:rPr>
          <w:rFonts w:hint="eastAsia" w:ascii="黑体" w:hAnsi="黑体" w:eastAsia="黑体" w:cs="黑体"/>
          <w:b/>
          <w:bCs/>
          <w:sz w:val="32"/>
          <w:szCs w:val="32"/>
          <w:lang w:val="en-US" w:eastAsia="zh-CN"/>
        </w:rPr>
        <w:t>附件1 评价区现场照片</w:t>
      </w:r>
    </w:p>
    <w:p>
      <w:pPr>
        <w:ind w:left="0" w:leftChars="0" w:firstLine="0" w:firstLineChars="0"/>
        <w:rPr>
          <w:rFonts w:hint="default" w:ascii="黑体" w:hAnsi="黑体" w:eastAsia="黑体" w:cs="黑体"/>
          <w:b/>
          <w:bCs/>
          <w:sz w:val="32"/>
          <w:szCs w:val="32"/>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default" w:ascii="黑体" w:hAnsi="黑体" w:eastAsia="黑体" w:cs="黑体"/>
          <w:b/>
          <w:bCs/>
          <w:sz w:val="32"/>
          <w:szCs w:val="32"/>
          <w:lang w:val="en-US" w:eastAsia="zh-CN"/>
        </w:rPr>
        <w:drawing>
          <wp:inline distT="0" distB="0" distL="114300" distR="114300">
            <wp:extent cx="5262880" cy="2368550"/>
            <wp:effectExtent l="0" t="0" r="13970" b="12700"/>
            <wp:docPr id="8" name="图片 8" descr="IMG_20211103_154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11103_154712"/>
                    <pic:cNvPicPr>
                      <a:picLocks noChangeAspect="1"/>
                    </pic:cNvPicPr>
                  </pic:nvPicPr>
                  <pic:blipFill>
                    <a:blip r:embed="rId25"/>
                    <a:stretch>
                      <a:fillRect/>
                    </a:stretch>
                  </pic:blipFill>
                  <pic:spPr>
                    <a:xfrm>
                      <a:off x="0" y="0"/>
                      <a:ext cx="5262880" cy="2368550"/>
                    </a:xfrm>
                    <a:prstGeom prst="rect">
                      <a:avLst/>
                    </a:prstGeom>
                  </pic:spPr>
                </pic:pic>
              </a:graphicData>
            </a:graphic>
          </wp:inline>
        </w:drawing>
      </w:r>
      <w:r>
        <w:rPr>
          <w:rFonts w:hint="default" w:ascii="黑体" w:hAnsi="黑体" w:eastAsia="黑体" w:cs="黑体"/>
          <w:b/>
          <w:bCs/>
          <w:sz w:val="32"/>
          <w:szCs w:val="32"/>
          <w:lang w:val="en-US" w:eastAsia="zh-CN"/>
        </w:rPr>
        <w:drawing>
          <wp:inline distT="0" distB="0" distL="114300" distR="114300">
            <wp:extent cx="5262880" cy="2368550"/>
            <wp:effectExtent l="0" t="0" r="13970" b="12700"/>
            <wp:docPr id="7" name="图片 7" descr="IMG_20211103_16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11103_161116"/>
                    <pic:cNvPicPr>
                      <a:picLocks noChangeAspect="1"/>
                    </pic:cNvPicPr>
                  </pic:nvPicPr>
                  <pic:blipFill>
                    <a:blip r:embed="rId26"/>
                    <a:stretch>
                      <a:fillRect/>
                    </a:stretch>
                  </pic:blipFill>
                  <pic:spPr>
                    <a:xfrm>
                      <a:off x="0" y="0"/>
                      <a:ext cx="5262880" cy="2368550"/>
                    </a:xfrm>
                    <a:prstGeom prst="rect">
                      <a:avLst/>
                    </a:prstGeom>
                  </pic:spPr>
                </pic:pic>
              </a:graphicData>
            </a:graphic>
          </wp:inline>
        </w:drawing>
      </w:r>
      <w:r>
        <w:rPr>
          <w:rFonts w:hint="default" w:ascii="黑体" w:hAnsi="黑体" w:eastAsia="黑体" w:cs="黑体"/>
          <w:b/>
          <w:bCs/>
          <w:sz w:val="32"/>
          <w:szCs w:val="32"/>
          <w:lang w:val="en-US" w:eastAsia="zh-CN"/>
        </w:rPr>
        <w:drawing>
          <wp:inline distT="0" distB="0" distL="114300" distR="114300">
            <wp:extent cx="5262880" cy="2368550"/>
            <wp:effectExtent l="0" t="0" r="13970" b="12700"/>
            <wp:docPr id="6" name="图片 6" descr="IMG_20211103_16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11103_161603"/>
                    <pic:cNvPicPr>
                      <a:picLocks noChangeAspect="1"/>
                    </pic:cNvPicPr>
                  </pic:nvPicPr>
                  <pic:blipFill>
                    <a:blip r:embed="rId27"/>
                    <a:stretch>
                      <a:fillRect/>
                    </a:stretch>
                  </pic:blipFill>
                  <pic:spPr>
                    <a:xfrm>
                      <a:off x="0" y="0"/>
                      <a:ext cx="5262880" cy="2368550"/>
                    </a:xfrm>
                    <a:prstGeom prst="rect">
                      <a:avLst/>
                    </a:prstGeom>
                  </pic:spPr>
                </pic:pic>
              </a:graphicData>
            </a:graphic>
          </wp:inline>
        </w:drawing>
      </w:r>
      <w:r>
        <w:rPr>
          <w:rFonts w:hint="default" w:ascii="黑体" w:hAnsi="黑体" w:eastAsia="黑体" w:cs="黑体"/>
          <w:b/>
          <w:bCs/>
          <w:sz w:val="32"/>
          <w:szCs w:val="32"/>
          <w:lang w:val="en-US" w:eastAsia="zh-CN"/>
        </w:rPr>
        <w:drawing>
          <wp:inline distT="0" distB="0" distL="114300" distR="114300">
            <wp:extent cx="5262880" cy="2368550"/>
            <wp:effectExtent l="0" t="0" r="13970" b="12700"/>
            <wp:docPr id="5" name="图片 5" descr="IMG_20211103_16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11103_161909"/>
                    <pic:cNvPicPr>
                      <a:picLocks noChangeAspect="1"/>
                    </pic:cNvPicPr>
                  </pic:nvPicPr>
                  <pic:blipFill>
                    <a:blip r:embed="rId28"/>
                    <a:stretch>
                      <a:fillRect/>
                    </a:stretch>
                  </pic:blipFill>
                  <pic:spPr>
                    <a:xfrm>
                      <a:off x="0" y="0"/>
                      <a:ext cx="5262880" cy="2368550"/>
                    </a:xfrm>
                    <a:prstGeom prst="rect">
                      <a:avLst/>
                    </a:prstGeom>
                  </pic:spPr>
                </pic:pic>
              </a:graphicData>
            </a:graphic>
          </wp:inline>
        </w:drawing>
      </w:r>
      <w:r>
        <w:rPr>
          <w:rFonts w:hint="default" w:ascii="黑体" w:hAnsi="黑体" w:eastAsia="黑体" w:cs="黑体"/>
          <w:b/>
          <w:bCs/>
          <w:sz w:val="32"/>
          <w:szCs w:val="32"/>
          <w:lang w:val="en-US" w:eastAsia="zh-CN"/>
        </w:rPr>
        <w:drawing>
          <wp:inline distT="0" distB="0" distL="114300" distR="114300">
            <wp:extent cx="5262880" cy="2368550"/>
            <wp:effectExtent l="0" t="0" r="13970" b="12700"/>
            <wp:docPr id="2" name="图片 2" descr="IMG_20211103_16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11103_163808"/>
                    <pic:cNvPicPr>
                      <a:picLocks noChangeAspect="1"/>
                    </pic:cNvPicPr>
                  </pic:nvPicPr>
                  <pic:blipFill>
                    <a:blip r:embed="rId29"/>
                    <a:stretch>
                      <a:fillRect/>
                    </a:stretch>
                  </pic:blipFill>
                  <pic:spPr>
                    <a:xfrm>
                      <a:off x="0" y="0"/>
                      <a:ext cx="5262880" cy="2368550"/>
                    </a:xfrm>
                    <a:prstGeom prst="rect">
                      <a:avLst/>
                    </a:prstGeom>
                  </pic:spPr>
                </pic:pic>
              </a:graphicData>
            </a:graphic>
          </wp:inline>
        </w:drawing>
      </w:r>
      <w:r>
        <w:rPr>
          <w:rFonts w:hint="default" w:ascii="黑体" w:hAnsi="黑体" w:eastAsia="黑体" w:cs="黑体"/>
          <w:b/>
          <w:bCs/>
          <w:sz w:val="32"/>
          <w:szCs w:val="32"/>
          <w:lang w:val="en-US" w:eastAsia="zh-CN"/>
        </w:rPr>
        <w:drawing>
          <wp:inline distT="0" distB="0" distL="114300" distR="114300">
            <wp:extent cx="5271770" cy="3128645"/>
            <wp:effectExtent l="0" t="0" r="5080" b="14605"/>
            <wp:docPr id="3" name="图片 3" descr="IMG_20211103_16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11103_162051"/>
                    <pic:cNvPicPr>
                      <a:picLocks noChangeAspect="1"/>
                    </pic:cNvPicPr>
                  </pic:nvPicPr>
                  <pic:blipFill>
                    <a:blip r:embed="rId30"/>
                    <a:srcRect t="40428" b="24111"/>
                    <a:stretch>
                      <a:fillRect/>
                    </a:stretch>
                  </pic:blipFill>
                  <pic:spPr>
                    <a:xfrm>
                      <a:off x="0" y="0"/>
                      <a:ext cx="5271770" cy="3128645"/>
                    </a:xfrm>
                    <a:prstGeom prst="rect">
                      <a:avLst/>
                    </a:prstGeom>
                  </pic:spPr>
                </pic:pic>
              </a:graphicData>
            </a:graphic>
          </wp:inline>
        </w:drawing>
      </w:r>
    </w:p>
    <w:p>
      <w:pPr>
        <w:ind w:left="0" w:leftChars="0" w:firstLine="0" w:firstLineChars="0"/>
        <w:rPr>
          <w:rFonts w:hint="eastAsia" w:ascii="黑体" w:hAnsi="黑体" w:eastAsia="黑体" w:cs="黑体"/>
          <w:b/>
          <w:bCs/>
          <w:sz w:val="32"/>
          <w:szCs w:val="32"/>
          <w:lang w:val="en-US" w:eastAsia="zh-CN"/>
        </w:rPr>
      </w:pPr>
      <w:r>
        <w:rPr>
          <w:rFonts w:hint="eastAsia" w:ascii="黑体" w:hAnsi="黑体" w:eastAsia="黑体" w:cs="黑体"/>
          <w:b/>
          <w:bCs/>
          <w:sz w:val="32"/>
          <w:szCs w:val="32"/>
          <w:lang w:val="en-US" w:eastAsia="zh-CN"/>
        </w:rPr>
        <w:t>附件2 阿坝县发展和改革局《关于阿坝县莲班路(安斗乡至罗云措沟段)美丽乡村路可行性研究报告的批复》</w:t>
      </w:r>
    </w:p>
    <w:p>
      <w:pPr>
        <w:pStyle w:val="25"/>
        <w:ind w:left="0" w:leftChars="0" w:firstLine="0" w:firstLineChars="0"/>
        <w:rPr>
          <w:rFonts w:hint="default"/>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default"/>
          <w:lang w:val="en-US" w:eastAsia="zh-CN"/>
        </w:rPr>
        <w:drawing>
          <wp:inline distT="0" distB="0" distL="114300" distR="114300">
            <wp:extent cx="5274945" cy="7403465"/>
            <wp:effectExtent l="0" t="0" r="1905" b="6985"/>
            <wp:docPr id="37" name="图片 37" descr="微信图片_2022040710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微信图片_20220407100318"/>
                    <pic:cNvPicPr>
                      <a:picLocks noChangeAspect="1"/>
                    </pic:cNvPicPr>
                  </pic:nvPicPr>
                  <pic:blipFill>
                    <a:blip r:embed="rId31"/>
                    <a:stretch>
                      <a:fillRect/>
                    </a:stretch>
                  </pic:blipFill>
                  <pic:spPr>
                    <a:xfrm>
                      <a:off x="0" y="0"/>
                      <a:ext cx="5274945" cy="7403465"/>
                    </a:xfrm>
                    <a:prstGeom prst="rect">
                      <a:avLst/>
                    </a:prstGeom>
                  </pic:spPr>
                </pic:pic>
              </a:graphicData>
            </a:graphic>
          </wp:inline>
        </w:drawing>
      </w:r>
      <w:r>
        <w:rPr>
          <w:rFonts w:hint="default"/>
          <w:lang w:val="en-US" w:eastAsia="zh-CN"/>
        </w:rPr>
        <w:drawing>
          <wp:inline distT="0" distB="0" distL="114300" distR="114300">
            <wp:extent cx="7625080" cy="5271770"/>
            <wp:effectExtent l="0" t="0" r="5080" b="13970"/>
            <wp:docPr id="36" name="图片 36" descr="微信图片_20220407100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微信图片_20220407100417"/>
                    <pic:cNvPicPr>
                      <a:picLocks noChangeAspect="1"/>
                    </pic:cNvPicPr>
                  </pic:nvPicPr>
                  <pic:blipFill>
                    <a:blip r:embed="rId32"/>
                    <a:stretch>
                      <a:fillRect/>
                    </a:stretch>
                  </pic:blipFill>
                  <pic:spPr>
                    <a:xfrm rot="16200000">
                      <a:off x="0" y="0"/>
                      <a:ext cx="7625080" cy="5271770"/>
                    </a:xfrm>
                    <a:prstGeom prst="rect">
                      <a:avLst/>
                    </a:prstGeom>
                  </pic:spPr>
                </pic:pic>
              </a:graphicData>
            </a:graphic>
          </wp:inline>
        </w:drawing>
      </w:r>
      <w:r>
        <w:rPr>
          <w:rFonts w:hint="default"/>
          <w:lang w:val="en-US" w:eastAsia="zh-CN"/>
        </w:rPr>
        <w:drawing>
          <wp:inline distT="0" distB="0" distL="114300" distR="114300">
            <wp:extent cx="5274945" cy="7506335"/>
            <wp:effectExtent l="0" t="0" r="1905" b="18415"/>
            <wp:docPr id="35" name="图片 35" descr="微信图片_2022040710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微信图片_20220407100422"/>
                    <pic:cNvPicPr>
                      <a:picLocks noChangeAspect="1"/>
                    </pic:cNvPicPr>
                  </pic:nvPicPr>
                  <pic:blipFill>
                    <a:blip r:embed="rId33"/>
                    <a:stretch>
                      <a:fillRect/>
                    </a:stretch>
                  </pic:blipFill>
                  <pic:spPr>
                    <a:xfrm>
                      <a:off x="0" y="0"/>
                      <a:ext cx="5274945" cy="750633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leftChars="0"/>
        <w:textAlignment w:val="auto"/>
        <w:outlineLvl w:val="9"/>
        <w:rPr>
          <w:rFonts w:hint="eastAsia" w:ascii="黑体" w:hAnsi="黑体" w:eastAsia="黑体" w:cs="黑体"/>
          <w:b/>
          <w:bCs/>
          <w:sz w:val="32"/>
          <w:szCs w:val="32"/>
        </w:rPr>
      </w:pPr>
      <w:r>
        <w:rPr>
          <w:rFonts w:hint="eastAsia" w:ascii="黑体" w:hAnsi="黑体" w:eastAsia="黑体" w:cs="黑体"/>
          <w:b/>
          <w:bCs/>
          <w:sz w:val="32"/>
          <w:szCs w:val="32"/>
          <w:lang w:val="en-US" w:eastAsia="zh-CN"/>
        </w:rPr>
        <w:t xml:space="preserve">附录1 </w:t>
      </w:r>
      <w:r>
        <w:rPr>
          <w:rFonts w:hint="eastAsia" w:ascii="黑体" w:hAnsi="黑体" w:eastAsia="黑体" w:cs="黑体"/>
          <w:b/>
          <w:bCs/>
          <w:sz w:val="32"/>
          <w:szCs w:val="32"/>
        </w:rPr>
        <w:t>评价区维管植物名录</w:t>
      </w:r>
    </w:p>
    <w:tbl>
      <w:tblPr>
        <w:tblStyle w:val="42"/>
        <w:tblW w:w="8485" w:type="dxa"/>
        <w:tblInd w:w="0" w:type="dxa"/>
        <w:tblLayout w:type="fixed"/>
        <w:tblCellMar>
          <w:top w:w="0" w:type="dxa"/>
          <w:left w:w="108" w:type="dxa"/>
          <w:bottom w:w="0" w:type="dxa"/>
          <w:right w:w="108" w:type="dxa"/>
        </w:tblCellMar>
      </w:tblPr>
      <w:tblGrid>
        <w:gridCol w:w="704"/>
        <w:gridCol w:w="2552"/>
        <w:gridCol w:w="4394"/>
        <w:gridCol w:w="835"/>
      </w:tblGrid>
      <w:tr>
        <w:tblPrEx>
          <w:tblCellMar>
            <w:top w:w="0" w:type="dxa"/>
            <w:left w:w="108" w:type="dxa"/>
            <w:bottom w:w="0" w:type="dxa"/>
            <w:right w:w="108" w:type="dxa"/>
          </w:tblCellMar>
        </w:tblPrEx>
        <w:trPr>
          <w:trHeight w:val="402" w:hRule="atLeast"/>
          <w:tblHeader/>
        </w:trPr>
        <w:tc>
          <w:tcPr>
            <w:tcW w:w="704" w:type="dxa"/>
            <w:tcBorders>
              <w:top w:val="single" w:color="auto" w:sz="4" w:space="0"/>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xml:space="preserve">序号 </w:t>
            </w:r>
          </w:p>
        </w:tc>
        <w:tc>
          <w:tcPr>
            <w:tcW w:w="2552" w:type="dxa"/>
            <w:tcBorders>
              <w:top w:val="single" w:color="auto" w:sz="4" w:space="0"/>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xml:space="preserve">科名 </w:t>
            </w:r>
          </w:p>
        </w:tc>
        <w:tc>
          <w:tcPr>
            <w:tcW w:w="4394" w:type="dxa"/>
            <w:tcBorders>
              <w:top w:val="single" w:color="auto" w:sz="4" w:space="0"/>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种名</w:t>
            </w:r>
          </w:p>
        </w:tc>
        <w:tc>
          <w:tcPr>
            <w:tcW w:w="835" w:type="dxa"/>
            <w:tcBorders>
              <w:top w:val="single" w:color="auto" w:sz="4" w:space="0"/>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数据来源</w:t>
            </w:r>
          </w:p>
        </w:tc>
      </w:tr>
      <w:tr>
        <w:trPr>
          <w:trHeight w:val="402" w:hRule="atLeast"/>
        </w:trPr>
        <w:tc>
          <w:tcPr>
            <w:tcW w:w="8485" w:type="dxa"/>
            <w:gridSpan w:val="4"/>
            <w:tcBorders>
              <w:top w:val="single" w:color="auto" w:sz="4" w:space="0"/>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子囊菌门</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麦角菌科(Clavicipitaceae)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冬虫夏草 Cordyceps  sinensi</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总规资料</w:t>
            </w:r>
          </w:p>
        </w:tc>
      </w:tr>
      <w:tr>
        <w:tblPrEx>
          <w:tblCellMar>
            <w:top w:w="0" w:type="dxa"/>
            <w:left w:w="108" w:type="dxa"/>
            <w:bottom w:w="0" w:type="dxa"/>
            <w:right w:w="108" w:type="dxa"/>
          </w:tblCellMar>
        </w:tblPrEx>
        <w:trPr>
          <w:trHeight w:val="402" w:hRule="atLeast"/>
        </w:trPr>
        <w:tc>
          <w:tcPr>
            <w:tcW w:w="8485" w:type="dxa"/>
            <w:gridSpan w:val="4"/>
            <w:tcBorders>
              <w:top w:val="single" w:color="auto" w:sz="4" w:space="0"/>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苔藓植物</w:t>
            </w:r>
            <w:r>
              <w:rPr>
                <w:rFonts w:eastAsia="等线" w:cs="Times New Roman"/>
                <w:b/>
                <w:bCs/>
                <w:color w:val="000000"/>
                <w:kern w:val="0"/>
                <w:sz w:val="21"/>
                <w:szCs w:val="21"/>
              </w:rPr>
              <w:t>Bryophyta</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2</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蛇苔科</w:t>
            </w:r>
            <w:r>
              <w:rPr>
                <w:rFonts w:eastAsia="等线" w:cs="Times New Roman"/>
                <w:b/>
                <w:bCs/>
                <w:color w:val="000000"/>
                <w:kern w:val="0"/>
                <w:sz w:val="21"/>
                <w:szCs w:val="21"/>
              </w:rPr>
              <w:t>Conocephalaceae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蛇苔</w:t>
            </w:r>
            <w:r>
              <w:rPr>
                <w:rFonts w:eastAsia="等线" w:cs="Times New Roman"/>
                <w:i/>
                <w:iCs/>
                <w:color w:val="000000"/>
                <w:kern w:val="0"/>
                <w:sz w:val="21"/>
                <w:szCs w:val="21"/>
              </w:rPr>
              <w:t xml:space="preserve"> Conocephalum conicum</w:t>
            </w:r>
            <w:r>
              <w:rPr>
                <w:rFonts w:eastAsia="等线" w:cs="Times New Roman"/>
                <w:color w:val="000000"/>
                <w:kern w:val="0"/>
                <w:sz w:val="21"/>
                <w:szCs w:val="21"/>
              </w:rPr>
              <w:t xml:space="preserve">  </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3</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曲尾藓科</w:t>
            </w:r>
            <w:r>
              <w:rPr>
                <w:rFonts w:eastAsia="等线" w:cs="Times New Roman"/>
                <w:b/>
                <w:bCs/>
                <w:color w:val="000000"/>
                <w:kern w:val="0"/>
                <w:sz w:val="21"/>
                <w:szCs w:val="21"/>
              </w:rPr>
              <w:t>Dicranaceae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棕色曲尾藓</w:t>
            </w:r>
            <w:r>
              <w:rPr>
                <w:rFonts w:eastAsia="等线" w:cs="Times New Roman"/>
                <w:color w:val="000000"/>
                <w:kern w:val="0"/>
                <w:sz w:val="21"/>
                <w:szCs w:val="21"/>
              </w:rPr>
              <w:t xml:space="preserve"> </w:t>
            </w:r>
            <w:r>
              <w:rPr>
                <w:rFonts w:eastAsia="等线" w:cs="Times New Roman"/>
                <w:i/>
                <w:iCs/>
                <w:color w:val="000000"/>
                <w:kern w:val="0"/>
                <w:sz w:val="21"/>
                <w:szCs w:val="21"/>
              </w:rPr>
              <w:t>Dicranum fuscescens</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4</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泥炭藓科</w:t>
            </w:r>
            <w:r>
              <w:rPr>
                <w:rFonts w:eastAsia="等线" w:cs="Times New Roman"/>
                <w:b/>
                <w:bCs/>
                <w:color w:val="000000"/>
                <w:kern w:val="0"/>
                <w:sz w:val="21"/>
                <w:szCs w:val="21"/>
              </w:rPr>
              <w:t>Sphagnaceae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粗叶泥炭藓</w:t>
            </w:r>
            <w:r>
              <w:rPr>
                <w:rFonts w:eastAsia="等线" w:cs="Times New Roman"/>
                <w:color w:val="000000"/>
                <w:kern w:val="0"/>
                <w:sz w:val="21"/>
                <w:szCs w:val="21"/>
              </w:rPr>
              <w:t xml:space="preserve"> </w:t>
            </w:r>
            <w:r>
              <w:rPr>
                <w:rFonts w:eastAsia="等线" w:cs="Times New Roman"/>
                <w:i/>
                <w:iCs/>
                <w:color w:val="000000"/>
                <w:kern w:val="0"/>
                <w:sz w:val="21"/>
                <w:szCs w:val="21"/>
              </w:rPr>
              <w:t>Sphagnum squarrosum</w:t>
            </w:r>
            <w:r>
              <w:rPr>
                <w:rFonts w:eastAsia="等线" w:cs="Times New Roman"/>
                <w:color w:val="000000"/>
                <w:kern w:val="0"/>
                <w:sz w:val="21"/>
                <w:szCs w:val="21"/>
              </w:rPr>
              <w:t xml:space="preserve">  </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5</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万年藓科</w:t>
            </w:r>
            <w:r>
              <w:rPr>
                <w:rFonts w:eastAsia="等线" w:cs="Times New Roman"/>
                <w:b/>
                <w:bCs/>
                <w:color w:val="000000"/>
                <w:kern w:val="0"/>
                <w:sz w:val="21"/>
                <w:szCs w:val="21"/>
              </w:rPr>
              <w:t>Climaciaceae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树藓</w:t>
            </w:r>
            <w:r>
              <w:rPr>
                <w:rFonts w:eastAsia="等线" w:cs="Times New Roman"/>
                <w:i/>
                <w:iCs/>
                <w:color w:val="000000"/>
                <w:kern w:val="0"/>
                <w:sz w:val="21"/>
                <w:szCs w:val="21"/>
              </w:rPr>
              <w:t xml:space="preserve"> Cirgensohnie ruthenice</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8485" w:type="dxa"/>
            <w:gridSpan w:val="4"/>
            <w:tcBorders>
              <w:top w:val="single" w:color="auto" w:sz="4" w:space="0"/>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蕨类植物</w:t>
            </w:r>
            <w:r>
              <w:rPr>
                <w:rFonts w:eastAsia="等线" w:cs="Times New Roman"/>
                <w:b/>
                <w:bCs/>
                <w:color w:val="000000"/>
                <w:kern w:val="0"/>
                <w:sz w:val="21"/>
                <w:szCs w:val="21"/>
              </w:rPr>
              <w:t>Pteridophyta</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6</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石杉科</w:t>
            </w:r>
            <w:r>
              <w:rPr>
                <w:rFonts w:eastAsia="等线" w:cs="Times New Roman"/>
                <w:b/>
                <w:bCs/>
                <w:color w:val="000000"/>
                <w:kern w:val="0"/>
                <w:sz w:val="21"/>
                <w:szCs w:val="21"/>
              </w:rPr>
              <w:t>Lycopodiaceae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锡金石杉</w:t>
            </w:r>
            <w:r>
              <w:rPr>
                <w:rFonts w:eastAsia="等线" w:cs="Times New Roman"/>
                <w:i/>
                <w:iCs/>
                <w:color w:val="000000"/>
                <w:kern w:val="0"/>
                <w:sz w:val="21"/>
                <w:szCs w:val="21"/>
              </w:rPr>
              <w:t xml:space="preserve"> Huperzia herterana </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总规资料</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7</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蹄盖蕨科Athyriaceae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高山冷蕨</w:t>
            </w:r>
            <w:r>
              <w:rPr>
                <w:rFonts w:eastAsia="等线" w:cs="Times New Roman"/>
                <w:color w:val="000000"/>
                <w:kern w:val="0"/>
                <w:sz w:val="21"/>
                <w:szCs w:val="21"/>
              </w:rPr>
              <w:t xml:space="preserve"> </w:t>
            </w:r>
            <w:r>
              <w:rPr>
                <w:rFonts w:eastAsia="等线" w:cs="Times New Roman"/>
                <w:i/>
                <w:iCs/>
                <w:color w:val="000000"/>
                <w:kern w:val="0"/>
                <w:sz w:val="21"/>
                <w:szCs w:val="21"/>
              </w:rPr>
              <w:t xml:space="preserve"> Cystopteris montana</w:t>
            </w:r>
            <w:r>
              <w:rPr>
                <w:rFonts w:eastAsia="等线" w:cs="Times New Roman"/>
                <w:color w:val="000000"/>
                <w:kern w:val="0"/>
                <w:sz w:val="21"/>
                <w:szCs w:val="21"/>
              </w:rPr>
              <w:t xml:space="preserve"> </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8</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铁角蕨科Aspleniaceae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西北铁角蕨</w:t>
            </w:r>
            <w:r>
              <w:rPr>
                <w:rFonts w:eastAsia="等线" w:cs="Times New Roman"/>
                <w:color w:val="000000"/>
                <w:kern w:val="0"/>
                <w:sz w:val="21"/>
                <w:szCs w:val="21"/>
              </w:rPr>
              <w:t xml:space="preserve"> </w:t>
            </w:r>
            <w:r>
              <w:rPr>
                <w:rFonts w:eastAsia="等线" w:cs="Times New Roman"/>
                <w:i/>
                <w:iCs/>
                <w:color w:val="000000"/>
                <w:kern w:val="0"/>
                <w:sz w:val="21"/>
                <w:szCs w:val="21"/>
              </w:rPr>
              <w:t>Asplenium nesii</w:t>
            </w:r>
            <w:r>
              <w:rPr>
                <w:rFonts w:eastAsia="等线" w:cs="Times New Roman"/>
                <w:color w:val="000000"/>
                <w:kern w:val="0"/>
                <w:sz w:val="21"/>
                <w:szCs w:val="21"/>
              </w:rPr>
              <w:t xml:space="preserve">  </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总规资料</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9</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岩蕨科Woodsiaceae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蜘蛛岩蕨</w:t>
            </w:r>
            <w:r>
              <w:rPr>
                <w:rFonts w:eastAsia="等线" w:cs="Times New Roman"/>
                <w:color w:val="000000"/>
                <w:kern w:val="0"/>
                <w:sz w:val="21"/>
                <w:szCs w:val="21"/>
              </w:rPr>
              <w:t xml:space="preserve"> </w:t>
            </w:r>
            <w:r>
              <w:rPr>
                <w:rFonts w:eastAsia="等线" w:cs="Times New Roman"/>
                <w:i/>
                <w:iCs/>
                <w:color w:val="000000"/>
                <w:kern w:val="0"/>
                <w:sz w:val="21"/>
                <w:szCs w:val="21"/>
              </w:rPr>
              <w:t>Woodsia andersoni</w:t>
            </w:r>
            <w:r>
              <w:rPr>
                <w:rFonts w:eastAsia="等线" w:cs="Times New Roman"/>
                <w:color w:val="000000"/>
                <w:kern w:val="0"/>
                <w:sz w:val="21"/>
                <w:szCs w:val="21"/>
              </w:rPr>
              <w:t xml:space="preserve">  </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10</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鳞毛蕨科Dryopteridaceae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陕西耳蕨</w:t>
            </w:r>
            <w:r>
              <w:rPr>
                <w:rFonts w:eastAsia="等线" w:cs="Times New Roman"/>
                <w:color w:val="000000"/>
                <w:kern w:val="0"/>
                <w:sz w:val="21"/>
                <w:szCs w:val="21"/>
              </w:rPr>
              <w:t xml:space="preserve"> </w:t>
            </w:r>
            <w:r>
              <w:rPr>
                <w:rFonts w:eastAsia="等线" w:cs="Times New Roman"/>
                <w:i/>
                <w:iCs/>
                <w:color w:val="000000"/>
                <w:kern w:val="0"/>
                <w:sz w:val="21"/>
                <w:szCs w:val="21"/>
              </w:rPr>
              <w:t>Polystichum</w:t>
            </w:r>
            <w:r>
              <w:rPr>
                <w:rFonts w:eastAsia="等线" w:cs="Times New Roman"/>
                <w:color w:val="000000"/>
                <w:kern w:val="0"/>
                <w:sz w:val="21"/>
                <w:szCs w:val="21"/>
              </w:rPr>
              <w:t xml:space="preserve"> </w:t>
            </w:r>
            <w:r>
              <w:rPr>
                <w:rFonts w:eastAsia="等线" w:cs="Times New Roman"/>
                <w:i/>
                <w:iCs/>
                <w:color w:val="000000"/>
                <w:kern w:val="0"/>
                <w:sz w:val="21"/>
                <w:szCs w:val="21"/>
              </w:rPr>
              <w:t>shensiense</w:t>
            </w:r>
            <w:r>
              <w:rPr>
                <w:rFonts w:eastAsia="等线" w:cs="Times New Roman"/>
                <w:color w:val="000000"/>
                <w:kern w:val="0"/>
                <w:sz w:val="21"/>
                <w:szCs w:val="21"/>
              </w:rPr>
              <w:t>.</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总规资料</w:t>
            </w:r>
          </w:p>
        </w:tc>
      </w:tr>
      <w:tr>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11</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中华耳蕨</w:t>
            </w:r>
            <w:r>
              <w:rPr>
                <w:rFonts w:eastAsia="等线" w:cs="Times New Roman"/>
                <w:color w:val="000000"/>
                <w:kern w:val="0"/>
                <w:sz w:val="21"/>
                <w:szCs w:val="21"/>
              </w:rPr>
              <w:t xml:space="preserve"> </w:t>
            </w:r>
            <w:r>
              <w:rPr>
                <w:rFonts w:eastAsia="等线" w:cs="Times New Roman"/>
                <w:i/>
                <w:iCs/>
                <w:color w:val="000000"/>
                <w:kern w:val="0"/>
                <w:sz w:val="21"/>
                <w:szCs w:val="21"/>
              </w:rPr>
              <w:t>Polystichum sinense</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总规资料</w:t>
            </w:r>
          </w:p>
        </w:tc>
      </w:tr>
      <w:tr>
        <w:tblPrEx>
          <w:tblCellMar>
            <w:top w:w="0" w:type="dxa"/>
            <w:left w:w="108" w:type="dxa"/>
            <w:bottom w:w="0" w:type="dxa"/>
            <w:right w:w="108" w:type="dxa"/>
          </w:tblCellMar>
        </w:tblPrEx>
        <w:trPr>
          <w:trHeight w:val="402" w:hRule="atLeast"/>
        </w:trPr>
        <w:tc>
          <w:tcPr>
            <w:tcW w:w="8485" w:type="dxa"/>
            <w:gridSpan w:val="4"/>
            <w:tcBorders>
              <w:top w:val="single" w:color="auto" w:sz="4" w:space="0"/>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裸子植物</w:t>
            </w:r>
            <w:r>
              <w:rPr>
                <w:rFonts w:eastAsia="等线" w:cs="Times New Roman"/>
                <w:b/>
                <w:bCs/>
                <w:color w:val="000000"/>
                <w:kern w:val="0"/>
                <w:sz w:val="21"/>
                <w:szCs w:val="21"/>
              </w:rPr>
              <w:t>Gymnospermae</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12</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松科Pinaceae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岷江冷杉</w:t>
            </w:r>
            <w:r>
              <w:rPr>
                <w:rFonts w:eastAsia="等线" w:cs="Times New Roman"/>
                <w:color w:val="000000"/>
                <w:kern w:val="0"/>
                <w:sz w:val="21"/>
                <w:szCs w:val="21"/>
              </w:rPr>
              <w:t xml:space="preserve"> </w:t>
            </w:r>
            <w:r>
              <w:rPr>
                <w:rFonts w:eastAsia="等线" w:cs="Times New Roman"/>
                <w:i/>
                <w:iCs/>
                <w:color w:val="000000"/>
                <w:kern w:val="0"/>
                <w:sz w:val="21"/>
                <w:szCs w:val="21"/>
              </w:rPr>
              <w:t xml:space="preserve">Abies faxoniana </w:t>
            </w:r>
            <w:r>
              <w:rPr>
                <w:rFonts w:eastAsia="等线" w:cs="Times New Roman"/>
                <w:color w:val="000000"/>
                <w:kern w:val="0"/>
                <w:sz w:val="21"/>
                <w:szCs w:val="21"/>
              </w:rPr>
              <w:t xml:space="preserve"> </w:t>
            </w:r>
            <w:r>
              <w:rPr>
                <w:rFonts w:cs="Times New Roman"/>
                <w:color w:val="000000"/>
                <w:kern w:val="0"/>
                <w:sz w:val="21"/>
                <w:szCs w:val="21"/>
              </w:rPr>
              <w:t>（栽培）</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13</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麻黄科Ephedraceae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单子麻黄</w:t>
            </w:r>
            <w:r>
              <w:rPr>
                <w:rFonts w:eastAsia="等线" w:cs="Times New Roman"/>
                <w:color w:val="000000"/>
                <w:kern w:val="0"/>
                <w:sz w:val="21"/>
                <w:szCs w:val="21"/>
              </w:rPr>
              <w:t xml:space="preserve"> </w:t>
            </w:r>
            <w:r>
              <w:rPr>
                <w:rFonts w:eastAsia="等线" w:cs="Times New Roman"/>
                <w:i/>
                <w:iCs/>
                <w:color w:val="000000"/>
                <w:kern w:val="0"/>
                <w:sz w:val="21"/>
                <w:szCs w:val="21"/>
              </w:rPr>
              <w:t>Ephedra monosperma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8485" w:type="dxa"/>
            <w:gridSpan w:val="4"/>
            <w:tcBorders>
              <w:top w:val="single" w:color="auto" w:sz="4" w:space="0"/>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被子植物</w:t>
            </w:r>
            <w:r>
              <w:rPr>
                <w:rFonts w:eastAsia="等线" w:cs="Times New Roman"/>
                <w:b/>
                <w:bCs/>
                <w:color w:val="000000"/>
                <w:kern w:val="0"/>
                <w:sz w:val="21"/>
                <w:szCs w:val="21"/>
              </w:rPr>
              <w:t>Angiospermae</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14</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杨柳科Salicaceae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奇花柳</w:t>
            </w:r>
            <w:r>
              <w:rPr>
                <w:rFonts w:eastAsia="等线" w:cs="Times New Roman"/>
                <w:color w:val="000000"/>
                <w:kern w:val="0"/>
                <w:sz w:val="21"/>
                <w:szCs w:val="21"/>
              </w:rPr>
              <w:t xml:space="preserve"> </w:t>
            </w:r>
            <w:r>
              <w:rPr>
                <w:rFonts w:eastAsia="等线" w:cs="Times New Roman"/>
                <w:i/>
                <w:iCs/>
                <w:color w:val="000000"/>
                <w:kern w:val="0"/>
                <w:sz w:val="21"/>
                <w:szCs w:val="21"/>
              </w:rPr>
              <w:t>Salix atopantha</w:t>
            </w:r>
            <w:r>
              <w:rPr>
                <w:rFonts w:eastAsia="等线" w:cs="Times New Roman"/>
                <w:color w:val="000000"/>
                <w:kern w:val="0"/>
                <w:sz w:val="21"/>
                <w:szCs w:val="21"/>
              </w:rPr>
              <w:t xml:space="preserve">  </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总规资料</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15</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川滇柳</w:t>
            </w:r>
            <w:r>
              <w:rPr>
                <w:rFonts w:eastAsia="等线" w:cs="Times New Roman"/>
                <w:color w:val="000000"/>
                <w:kern w:val="0"/>
                <w:sz w:val="21"/>
                <w:szCs w:val="21"/>
              </w:rPr>
              <w:t xml:space="preserve"> </w:t>
            </w:r>
            <w:r>
              <w:rPr>
                <w:rFonts w:eastAsia="等线" w:cs="Times New Roman"/>
                <w:i/>
                <w:iCs/>
                <w:color w:val="000000"/>
                <w:kern w:val="0"/>
                <w:sz w:val="21"/>
                <w:szCs w:val="21"/>
              </w:rPr>
              <w:t>Salix rehderiana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16</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环腺柳</w:t>
            </w:r>
            <w:r>
              <w:rPr>
                <w:rFonts w:eastAsia="等线" w:cs="Times New Roman"/>
                <w:color w:val="000000"/>
                <w:kern w:val="0"/>
                <w:sz w:val="21"/>
                <w:szCs w:val="21"/>
              </w:rPr>
              <w:t xml:space="preserve"> </w:t>
            </w:r>
            <w:r>
              <w:rPr>
                <w:rFonts w:eastAsia="等线" w:cs="Times New Roman"/>
                <w:i/>
                <w:iCs/>
                <w:color w:val="000000"/>
                <w:kern w:val="0"/>
                <w:sz w:val="21"/>
                <w:szCs w:val="21"/>
              </w:rPr>
              <w:t>Salix oritrepha</w:t>
            </w:r>
            <w:r>
              <w:rPr>
                <w:rFonts w:eastAsia="等线" w:cs="Times New Roman"/>
                <w:color w:val="000000"/>
                <w:kern w:val="0"/>
                <w:sz w:val="21"/>
                <w:szCs w:val="21"/>
              </w:rPr>
              <w:t xml:space="preserve">  </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17</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大苞柳</w:t>
            </w:r>
            <w:r>
              <w:rPr>
                <w:rFonts w:eastAsia="等线" w:cs="Times New Roman"/>
                <w:i/>
                <w:iCs/>
                <w:color w:val="000000"/>
                <w:kern w:val="0"/>
                <w:sz w:val="21"/>
                <w:szCs w:val="21"/>
              </w:rPr>
              <w:t xml:space="preserve"> Salix pseudospissa </w:t>
            </w:r>
            <w:r>
              <w:rPr>
                <w:rFonts w:eastAsia="等线" w:cs="Times New Roman"/>
                <w:color w:val="000000"/>
                <w:kern w:val="0"/>
                <w:sz w:val="21"/>
                <w:szCs w:val="21"/>
              </w:rPr>
              <w:t xml:space="preserve"> </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总规资料</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18</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蓼科</w:t>
            </w:r>
            <w:r>
              <w:rPr>
                <w:rFonts w:eastAsia="等线" w:cs="Times New Roman"/>
                <w:b/>
                <w:bCs/>
                <w:color w:val="000000"/>
                <w:kern w:val="0"/>
                <w:sz w:val="21"/>
                <w:szCs w:val="21"/>
              </w:rPr>
              <w:t>Polygonaceae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圆穗蓼</w:t>
            </w:r>
            <w:r>
              <w:rPr>
                <w:rFonts w:eastAsia="等线" w:cs="Times New Roman"/>
                <w:color w:val="000000"/>
                <w:kern w:val="0"/>
                <w:sz w:val="21"/>
                <w:szCs w:val="21"/>
              </w:rPr>
              <w:t xml:space="preserve"> </w:t>
            </w:r>
            <w:r>
              <w:rPr>
                <w:rFonts w:eastAsia="等线" w:cs="Times New Roman"/>
                <w:i/>
                <w:iCs/>
                <w:color w:val="000000"/>
                <w:kern w:val="0"/>
                <w:sz w:val="21"/>
                <w:szCs w:val="21"/>
              </w:rPr>
              <w:t>Polygonum sphaerostachyum</w:t>
            </w:r>
            <w:r>
              <w:rPr>
                <w:rFonts w:eastAsia="等线" w:cs="Times New Roman"/>
                <w:color w:val="000000"/>
                <w:kern w:val="0"/>
                <w:sz w:val="21"/>
                <w:szCs w:val="21"/>
              </w:rPr>
              <w:t xml:space="preserve">  </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19</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珠芽蓼</w:t>
            </w:r>
            <w:r>
              <w:rPr>
                <w:rFonts w:eastAsia="等线" w:cs="Times New Roman"/>
                <w:color w:val="000000"/>
                <w:kern w:val="0"/>
                <w:sz w:val="21"/>
                <w:szCs w:val="21"/>
              </w:rPr>
              <w:t xml:space="preserve"> </w:t>
            </w:r>
            <w:r>
              <w:rPr>
                <w:rFonts w:eastAsia="等线" w:cs="Times New Roman"/>
                <w:i/>
                <w:iCs/>
                <w:color w:val="000000"/>
                <w:kern w:val="0"/>
                <w:sz w:val="21"/>
                <w:szCs w:val="21"/>
              </w:rPr>
              <w:t>Polygonum viviparum</w:t>
            </w:r>
            <w:r>
              <w:rPr>
                <w:rFonts w:eastAsia="等线" w:cs="Times New Roman"/>
                <w:color w:val="000000"/>
                <w:kern w:val="0"/>
                <w:sz w:val="21"/>
                <w:szCs w:val="21"/>
              </w:rPr>
              <w:t xml:space="preserve"> </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20</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西伯利亚蓼</w:t>
            </w:r>
            <w:r>
              <w:rPr>
                <w:rFonts w:eastAsia="等线" w:cs="Times New Roman"/>
                <w:color w:val="000000"/>
                <w:kern w:val="0"/>
                <w:sz w:val="21"/>
                <w:szCs w:val="21"/>
              </w:rPr>
              <w:t xml:space="preserve"> </w:t>
            </w:r>
            <w:r>
              <w:rPr>
                <w:rFonts w:eastAsia="等线" w:cs="Times New Roman"/>
                <w:i/>
                <w:iCs/>
                <w:color w:val="000000"/>
                <w:kern w:val="0"/>
                <w:sz w:val="21"/>
                <w:szCs w:val="21"/>
              </w:rPr>
              <w:t>Polygonum sibiricum</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21</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尼泊尔酸模</w:t>
            </w:r>
            <w:r>
              <w:rPr>
                <w:rFonts w:eastAsia="等线" w:cs="Times New Roman"/>
                <w:i/>
                <w:iCs/>
                <w:color w:val="000000"/>
                <w:kern w:val="0"/>
                <w:sz w:val="21"/>
                <w:szCs w:val="21"/>
              </w:rPr>
              <w:t xml:space="preserve"> Rumex nepalensis</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22</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掌叶大黄</w:t>
            </w:r>
            <w:r>
              <w:rPr>
                <w:rFonts w:eastAsia="等线" w:cs="Times New Roman"/>
                <w:i/>
                <w:iCs/>
                <w:color w:val="000000"/>
                <w:kern w:val="0"/>
                <w:sz w:val="21"/>
                <w:szCs w:val="21"/>
              </w:rPr>
              <w:t xml:space="preserve"> Rheum palmatum</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23</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石竹科</w:t>
            </w:r>
            <w:r>
              <w:rPr>
                <w:rFonts w:eastAsia="等线" w:cs="Times New Roman"/>
                <w:b/>
                <w:bCs/>
                <w:color w:val="000000"/>
                <w:kern w:val="0"/>
                <w:sz w:val="21"/>
                <w:szCs w:val="21"/>
              </w:rPr>
              <w:t>Caryophyllaceae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甘肃蚤缀</w:t>
            </w:r>
            <w:r>
              <w:rPr>
                <w:rFonts w:eastAsia="等线" w:cs="Times New Roman"/>
                <w:color w:val="000000"/>
                <w:kern w:val="0"/>
                <w:sz w:val="21"/>
                <w:szCs w:val="21"/>
              </w:rPr>
              <w:t xml:space="preserve">  </w:t>
            </w:r>
            <w:r>
              <w:rPr>
                <w:rFonts w:eastAsia="等线" w:cs="Times New Roman"/>
                <w:i/>
                <w:iCs/>
                <w:color w:val="000000"/>
                <w:kern w:val="0"/>
                <w:sz w:val="21"/>
                <w:szCs w:val="21"/>
              </w:rPr>
              <w:t>Arenaria kansuensis</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24</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高山漆姑草</w:t>
            </w:r>
            <w:r>
              <w:rPr>
                <w:rFonts w:eastAsia="等线" w:cs="Times New Roman"/>
                <w:color w:val="000000"/>
                <w:kern w:val="0"/>
                <w:sz w:val="21"/>
                <w:szCs w:val="21"/>
              </w:rPr>
              <w:t xml:space="preserve"> </w:t>
            </w:r>
            <w:r>
              <w:rPr>
                <w:rFonts w:eastAsia="等线" w:cs="Times New Roman"/>
                <w:i/>
                <w:iCs/>
                <w:color w:val="000000"/>
                <w:kern w:val="0"/>
                <w:sz w:val="21"/>
                <w:szCs w:val="21"/>
              </w:rPr>
              <w:t>Minuartia laricina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25</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湿生繁缕</w:t>
            </w:r>
            <w:r>
              <w:rPr>
                <w:rFonts w:eastAsia="等线" w:cs="Times New Roman"/>
                <w:color w:val="000000"/>
                <w:kern w:val="0"/>
                <w:sz w:val="21"/>
                <w:szCs w:val="21"/>
              </w:rPr>
              <w:t xml:space="preserve"> </w:t>
            </w:r>
            <w:r>
              <w:rPr>
                <w:rFonts w:eastAsia="等线" w:cs="Times New Roman"/>
                <w:i/>
                <w:iCs/>
                <w:color w:val="000000"/>
                <w:kern w:val="0"/>
                <w:sz w:val="21"/>
                <w:szCs w:val="21"/>
              </w:rPr>
              <w:t>Stellaria uda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26</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瞿麦</w:t>
            </w:r>
            <w:r>
              <w:rPr>
                <w:rFonts w:eastAsia="等线" w:cs="Times New Roman"/>
                <w:color w:val="000000"/>
                <w:kern w:val="0"/>
                <w:sz w:val="21"/>
                <w:szCs w:val="21"/>
              </w:rPr>
              <w:t xml:space="preserve"> </w:t>
            </w:r>
            <w:r>
              <w:rPr>
                <w:rFonts w:eastAsia="等线" w:cs="Times New Roman"/>
                <w:i/>
                <w:iCs/>
                <w:color w:val="000000"/>
                <w:kern w:val="0"/>
                <w:sz w:val="21"/>
                <w:szCs w:val="21"/>
              </w:rPr>
              <w:t>Dianthus superbu</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27</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毛茛科</w:t>
            </w:r>
            <w:r>
              <w:rPr>
                <w:rFonts w:eastAsia="等线" w:cs="Times New Roman"/>
                <w:b/>
                <w:bCs/>
                <w:color w:val="000000"/>
                <w:kern w:val="0"/>
                <w:sz w:val="21"/>
                <w:szCs w:val="21"/>
              </w:rPr>
              <w:t>Ranunculaceae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花葶驴蹄草</w:t>
            </w:r>
            <w:r>
              <w:rPr>
                <w:rFonts w:eastAsia="等线" w:cs="Times New Roman"/>
                <w:color w:val="000000"/>
                <w:kern w:val="0"/>
                <w:sz w:val="21"/>
                <w:szCs w:val="21"/>
              </w:rPr>
              <w:t xml:space="preserve"> </w:t>
            </w:r>
            <w:r>
              <w:rPr>
                <w:rFonts w:eastAsia="等线" w:cs="Times New Roman"/>
                <w:i/>
                <w:iCs/>
                <w:color w:val="000000"/>
                <w:kern w:val="0"/>
                <w:sz w:val="21"/>
                <w:szCs w:val="21"/>
              </w:rPr>
              <w:t>Caltha scaposa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28</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毛茛状金莲花</w:t>
            </w:r>
            <w:r>
              <w:rPr>
                <w:rFonts w:eastAsia="等线" w:cs="Times New Roman"/>
                <w:color w:val="000000"/>
                <w:kern w:val="0"/>
                <w:sz w:val="21"/>
                <w:szCs w:val="21"/>
              </w:rPr>
              <w:t xml:space="preserve"> </w:t>
            </w:r>
            <w:r>
              <w:rPr>
                <w:rFonts w:eastAsia="等线" w:cs="Times New Roman"/>
                <w:i/>
                <w:iCs/>
                <w:color w:val="000000"/>
                <w:kern w:val="0"/>
                <w:sz w:val="21"/>
                <w:szCs w:val="21"/>
              </w:rPr>
              <w:t>Trollius ranunculoides</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29</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矮金莲花</w:t>
            </w:r>
            <w:r>
              <w:rPr>
                <w:rFonts w:eastAsia="等线" w:cs="Times New Roman"/>
                <w:color w:val="000000"/>
                <w:kern w:val="0"/>
                <w:sz w:val="21"/>
                <w:szCs w:val="21"/>
              </w:rPr>
              <w:t xml:space="preserve"> </w:t>
            </w:r>
            <w:r>
              <w:rPr>
                <w:rFonts w:eastAsia="等线" w:cs="Times New Roman"/>
                <w:i/>
                <w:iCs/>
                <w:color w:val="000000"/>
                <w:kern w:val="0"/>
                <w:sz w:val="21"/>
                <w:szCs w:val="21"/>
              </w:rPr>
              <w:t>Trollius farreri</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30</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高山唐松草</w:t>
            </w:r>
            <w:r>
              <w:rPr>
                <w:rFonts w:eastAsia="等线" w:cs="Times New Roman"/>
                <w:color w:val="000000"/>
                <w:kern w:val="0"/>
                <w:sz w:val="21"/>
                <w:szCs w:val="21"/>
              </w:rPr>
              <w:t xml:space="preserve"> </w:t>
            </w:r>
            <w:r>
              <w:rPr>
                <w:rFonts w:eastAsia="等线" w:cs="Times New Roman"/>
                <w:i/>
                <w:iCs/>
                <w:color w:val="000000"/>
                <w:kern w:val="0"/>
                <w:sz w:val="21"/>
                <w:szCs w:val="21"/>
              </w:rPr>
              <w:t xml:space="preserve">Thalictrum alpinum </w:t>
            </w:r>
            <w:r>
              <w:rPr>
                <w:rFonts w:eastAsia="等线" w:cs="Times New Roman"/>
                <w:color w:val="000000"/>
                <w:kern w:val="0"/>
                <w:sz w:val="21"/>
                <w:szCs w:val="21"/>
              </w:rPr>
              <w:t xml:space="preserve"> </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31</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蓝翠雀花</w:t>
            </w:r>
            <w:r>
              <w:rPr>
                <w:rFonts w:eastAsia="等线" w:cs="Times New Roman"/>
                <w:color w:val="000000"/>
                <w:kern w:val="0"/>
                <w:sz w:val="21"/>
                <w:szCs w:val="21"/>
              </w:rPr>
              <w:t xml:space="preserve"> </w:t>
            </w:r>
            <w:r>
              <w:rPr>
                <w:rFonts w:eastAsia="等线" w:cs="Times New Roman"/>
                <w:i/>
                <w:iCs/>
                <w:color w:val="000000"/>
                <w:kern w:val="0"/>
                <w:sz w:val="21"/>
                <w:szCs w:val="21"/>
              </w:rPr>
              <w:t>Delphinium caeruleum</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32</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鸦跖花</w:t>
            </w:r>
            <w:r>
              <w:rPr>
                <w:rFonts w:eastAsia="等线" w:cs="Times New Roman"/>
                <w:color w:val="000000"/>
                <w:kern w:val="0"/>
                <w:sz w:val="21"/>
                <w:szCs w:val="21"/>
              </w:rPr>
              <w:t xml:space="preserve"> </w:t>
            </w:r>
            <w:r>
              <w:rPr>
                <w:rFonts w:eastAsia="等线" w:cs="Times New Roman"/>
                <w:i/>
                <w:iCs/>
                <w:color w:val="000000"/>
                <w:kern w:val="0"/>
                <w:sz w:val="21"/>
                <w:szCs w:val="21"/>
              </w:rPr>
              <w:t>Oxygraphis glacialis</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33</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高原毛茛</w:t>
            </w:r>
            <w:r>
              <w:rPr>
                <w:rFonts w:eastAsia="等线" w:cs="Times New Roman"/>
                <w:i/>
                <w:iCs/>
                <w:color w:val="000000"/>
                <w:kern w:val="0"/>
                <w:sz w:val="21"/>
                <w:szCs w:val="21"/>
              </w:rPr>
              <w:t xml:space="preserve"> Ranunculus tanguticus</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34</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水葫芦苗</w:t>
            </w:r>
            <w:r>
              <w:rPr>
                <w:rFonts w:eastAsia="等线" w:cs="Times New Roman"/>
                <w:color w:val="000000"/>
                <w:kern w:val="0"/>
                <w:sz w:val="21"/>
                <w:szCs w:val="21"/>
              </w:rPr>
              <w:t xml:space="preserve">  </w:t>
            </w:r>
            <w:r>
              <w:rPr>
                <w:rFonts w:eastAsia="等线" w:cs="Times New Roman"/>
                <w:i/>
                <w:iCs/>
                <w:color w:val="000000"/>
                <w:kern w:val="0"/>
                <w:sz w:val="21"/>
                <w:szCs w:val="21"/>
              </w:rPr>
              <w:t>Halerpestes sarmentosa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35</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无柄水毛茛</w:t>
            </w:r>
            <w:r>
              <w:rPr>
                <w:rFonts w:eastAsia="等线" w:cs="Times New Roman"/>
                <w:color w:val="000000"/>
                <w:kern w:val="0"/>
                <w:sz w:val="21"/>
                <w:szCs w:val="21"/>
              </w:rPr>
              <w:t xml:space="preserve"> </w:t>
            </w:r>
            <w:r>
              <w:rPr>
                <w:rFonts w:eastAsia="等线" w:cs="Times New Roman"/>
                <w:i/>
                <w:iCs/>
                <w:color w:val="000000"/>
                <w:kern w:val="0"/>
                <w:sz w:val="21"/>
                <w:szCs w:val="21"/>
              </w:rPr>
              <w:t>Batrachium trichophyllum</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总规资料</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36</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条叶银莲花</w:t>
            </w:r>
            <w:r>
              <w:rPr>
                <w:rFonts w:eastAsia="等线" w:cs="Times New Roman"/>
                <w:color w:val="000000"/>
                <w:kern w:val="0"/>
                <w:sz w:val="21"/>
                <w:szCs w:val="21"/>
              </w:rPr>
              <w:t xml:space="preserve"> </w:t>
            </w:r>
            <w:r>
              <w:rPr>
                <w:rFonts w:eastAsia="等线" w:cs="Times New Roman"/>
                <w:i/>
                <w:iCs/>
                <w:color w:val="000000"/>
                <w:kern w:val="0"/>
                <w:sz w:val="21"/>
                <w:szCs w:val="21"/>
              </w:rPr>
              <w:t>Anemone trullifolia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37</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展毛银莲花</w:t>
            </w:r>
            <w:r>
              <w:rPr>
                <w:rFonts w:eastAsia="等线" w:cs="Times New Roman"/>
                <w:i/>
                <w:iCs/>
                <w:color w:val="000000"/>
                <w:kern w:val="0"/>
                <w:sz w:val="21"/>
                <w:szCs w:val="21"/>
              </w:rPr>
              <w:t xml:space="preserve"> Anemone demissa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38</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小檗科</w:t>
            </w:r>
            <w:r>
              <w:rPr>
                <w:rFonts w:eastAsia="等线" w:cs="Times New Roman"/>
                <w:b/>
                <w:bCs/>
                <w:color w:val="000000"/>
                <w:kern w:val="0"/>
                <w:sz w:val="21"/>
                <w:szCs w:val="21"/>
              </w:rPr>
              <w:t>Berberidaceae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近似小檗</w:t>
            </w:r>
            <w:r>
              <w:rPr>
                <w:rFonts w:eastAsia="等线" w:cs="Times New Roman"/>
                <w:color w:val="000000"/>
                <w:kern w:val="0"/>
                <w:sz w:val="21"/>
                <w:szCs w:val="21"/>
              </w:rPr>
              <w:t xml:space="preserve"> </w:t>
            </w:r>
            <w:r>
              <w:rPr>
                <w:rFonts w:eastAsia="等线" w:cs="Times New Roman"/>
                <w:i/>
                <w:iCs/>
                <w:color w:val="000000"/>
                <w:kern w:val="0"/>
                <w:sz w:val="21"/>
                <w:szCs w:val="21"/>
              </w:rPr>
              <w:t>Berberis approximata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总规资料</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39</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罂粟科</w:t>
            </w:r>
            <w:r>
              <w:rPr>
                <w:rFonts w:eastAsia="等线" w:cs="Times New Roman"/>
                <w:b/>
                <w:bCs/>
                <w:color w:val="000000"/>
                <w:kern w:val="0"/>
                <w:sz w:val="21"/>
                <w:szCs w:val="21"/>
              </w:rPr>
              <w:t>Papaveraceae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全缘绿绒蒿</w:t>
            </w:r>
            <w:r>
              <w:rPr>
                <w:rFonts w:eastAsia="等线" w:cs="Times New Roman"/>
                <w:color w:val="000000"/>
                <w:kern w:val="0"/>
                <w:sz w:val="21"/>
                <w:szCs w:val="21"/>
              </w:rPr>
              <w:t xml:space="preserve"> </w:t>
            </w:r>
            <w:r>
              <w:rPr>
                <w:rFonts w:eastAsia="等线" w:cs="Times New Roman"/>
                <w:i/>
                <w:iCs/>
                <w:color w:val="000000"/>
                <w:kern w:val="0"/>
                <w:sz w:val="21"/>
                <w:szCs w:val="21"/>
              </w:rPr>
              <w:t>Meconopsis integrifolia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40</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多刺绿绒蒿</w:t>
            </w:r>
            <w:r>
              <w:rPr>
                <w:rFonts w:eastAsia="等线" w:cs="Times New Roman"/>
                <w:color w:val="000000"/>
                <w:kern w:val="0"/>
                <w:sz w:val="21"/>
                <w:szCs w:val="21"/>
              </w:rPr>
              <w:t xml:space="preserve"> </w:t>
            </w:r>
            <w:r>
              <w:rPr>
                <w:rFonts w:eastAsia="等线" w:cs="Times New Roman"/>
                <w:i/>
                <w:iCs/>
                <w:color w:val="000000"/>
                <w:kern w:val="0"/>
                <w:sz w:val="21"/>
                <w:szCs w:val="21"/>
              </w:rPr>
              <w:t>Meconopsis horridula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41</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红花绿绒蒿</w:t>
            </w:r>
            <w:r>
              <w:rPr>
                <w:rFonts w:eastAsia="等线" w:cs="Times New Roman"/>
                <w:color w:val="000000"/>
                <w:kern w:val="0"/>
                <w:sz w:val="21"/>
                <w:szCs w:val="21"/>
              </w:rPr>
              <w:t xml:space="preserve"> </w:t>
            </w:r>
            <w:r>
              <w:rPr>
                <w:rFonts w:eastAsia="等线" w:cs="Times New Roman"/>
                <w:i/>
                <w:iCs/>
                <w:color w:val="000000"/>
                <w:kern w:val="0"/>
                <w:sz w:val="21"/>
                <w:szCs w:val="21"/>
              </w:rPr>
              <w:t>Meconopsis punicea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42</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曲花紫堇</w:t>
            </w:r>
            <w:r>
              <w:rPr>
                <w:rFonts w:eastAsia="等线" w:cs="Times New Roman"/>
                <w:color w:val="000000"/>
                <w:kern w:val="0"/>
                <w:sz w:val="21"/>
                <w:szCs w:val="21"/>
              </w:rPr>
              <w:t xml:space="preserve"> </w:t>
            </w:r>
            <w:r>
              <w:rPr>
                <w:rFonts w:eastAsia="等线" w:cs="Times New Roman"/>
                <w:i/>
                <w:iCs/>
                <w:color w:val="000000"/>
                <w:kern w:val="0"/>
                <w:sz w:val="21"/>
                <w:szCs w:val="21"/>
              </w:rPr>
              <w:t>Corydalis curvifiora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43</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字花科</w:t>
            </w:r>
            <w:r>
              <w:rPr>
                <w:rFonts w:eastAsia="等线" w:cs="Times New Roman"/>
                <w:b/>
                <w:bCs/>
                <w:color w:val="000000"/>
                <w:kern w:val="0"/>
                <w:sz w:val="21"/>
                <w:szCs w:val="21"/>
              </w:rPr>
              <w:t>Cruciferae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喜山葶苈</w:t>
            </w:r>
            <w:r>
              <w:rPr>
                <w:rFonts w:eastAsia="等线" w:cs="Times New Roman"/>
                <w:color w:val="000000"/>
                <w:kern w:val="0"/>
                <w:sz w:val="21"/>
                <w:szCs w:val="21"/>
              </w:rPr>
              <w:t xml:space="preserve"> </w:t>
            </w:r>
            <w:r>
              <w:rPr>
                <w:rFonts w:eastAsia="等线" w:cs="Times New Roman"/>
                <w:i/>
                <w:iCs/>
                <w:color w:val="000000"/>
                <w:kern w:val="0"/>
                <w:sz w:val="21"/>
                <w:szCs w:val="21"/>
              </w:rPr>
              <w:t>Draba oreades</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44</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紫花碎米荠</w:t>
            </w:r>
            <w:r>
              <w:rPr>
                <w:rFonts w:eastAsia="等线" w:cs="Times New Roman"/>
                <w:color w:val="000000"/>
                <w:kern w:val="0"/>
                <w:sz w:val="21"/>
                <w:szCs w:val="21"/>
              </w:rPr>
              <w:t xml:space="preserve"> </w:t>
            </w:r>
            <w:r>
              <w:rPr>
                <w:rFonts w:eastAsia="等线" w:cs="Times New Roman"/>
                <w:i/>
                <w:iCs/>
                <w:color w:val="000000"/>
                <w:kern w:val="0"/>
                <w:sz w:val="21"/>
                <w:szCs w:val="21"/>
              </w:rPr>
              <w:t>Cardamine tangutorum</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45</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遏蓝菜</w:t>
            </w:r>
            <w:r>
              <w:rPr>
                <w:rFonts w:eastAsia="等线" w:cs="Times New Roman"/>
                <w:color w:val="000000"/>
                <w:kern w:val="0"/>
                <w:sz w:val="21"/>
                <w:szCs w:val="21"/>
              </w:rPr>
              <w:t xml:space="preserve"> </w:t>
            </w:r>
            <w:r>
              <w:rPr>
                <w:rFonts w:eastAsia="等线" w:cs="Times New Roman"/>
                <w:i/>
                <w:iCs/>
                <w:color w:val="000000"/>
                <w:kern w:val="0"/>
                <w:sz w:val="21"/>
                <w:szCs w:val="21"/>
              </w:rPr>
              <w:t>Thlaspi arvense</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46</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景天科</w:t>
            </w:r>
            <w:r>
              <w:rPr>
                <w:rFonts w:eastAsia="等线" w:cs="Times New Roman"/>
                <w:b/>
                <w:bCs/>
                <w:color w:val="000000"/>
                <w:kern w:val="0"/>
                <w:sz w:val="21"/>
                <w:szCs w:val="21"/>
              </w:rPr>
              <w:t>Crassulaceae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小丛红景天</w:t>
            </w:r>
            <w:r>
              <w:rPr>
                <w:rFonts w:eastAsia="等线" w:cs="Times New Roman"/>
                <w:color w:val="000000"/>
                <w:kern w:val="0"/>
                <w:sz w:val="21"/>
                <w:szCs w:val="21"/>
              </w:rPr>
              <w:t xml:space="preserve"> </w:t>
            </w:r>
            <w:r>
              <w:rPr>
                <w:rFonts w:eastAsia="等线" w:cs="Times New Roman"/>
                <w:i/>
                <w:iCs/>
                <w:color w:val="000000"/>
                <w:kern w:val="0"/>
                <w:sz w:val="21"/>
                <w:szCs w:val="21"/>
              </w:rPr>
              <w:t xml:space="preserve">Rhodiola dumulosa </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47</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虎耳草科</w:t>
            </w:r>
            <w:r>
              <w:rPr>
                <w:rFonts w:eastAsia="等线" w:cs="Times New Roman"/>
                <w:b/>
                <w:bCs/>
                <w:color w:val="000000"/>
                <w:kern w:val="0"/>
                <w:sz w:val="21"/>
                <w:szCs w:val="21"/>
              </w:rPr>
              <w:t>Saxiragaceae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黑蕊虎耳草</w:t>
            </w:r>
            <w:r>
              <w:rPr>
                <w:rFonts w:eastAsia="等线" w:cs="Times New Roman"/>
                <w:color w:val="000000"/>
                <w:kern w:val="0"/>
                <w:sz w:val="21"/>
                <w:szCs w:val="21"/>
              </w:rPr>
              <w:t xml:space="preserve"> </w:t>
            </w:r>
            <w:r>
              <w:rPr>
                <w:rFonts w:eastAsia="等线" w:cs="Times New Roman"/>
                <w:i/>
                <w:iCs/>
                <w:color w:val="000000"/>
                <w:kern w:val="0"/>
                <w:sz w:val="21"/>
                <w:szCs w:val="21"/>
              </w:rPr>
              <w:t>Saxifraga melanocentra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总规资料</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48</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蔷薇科</w:t>
            </w:r>
            <w:r>
              <w:rPr>
                <w:rFonts w:eastAsia="等线" w:cs="Times New Roman"/>
                <w:b/>
                <w:bCs/>
                <w:color w:val="000000"/>
                <w:kern w:val="0"/>
                <w:sz w:val="21"/>
                <w:szCs w:val="21"/>
              </w:rPr>
              <w:t>Rosaceae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高山绣线菊</w:t>
            </w:r>
            <w:r>
              <w:rPr>
                <w:rFonts w:eastAsia="等线" w:cs="Times New Roman"/>
                <w:color w:val="000000"/>
                <w:kern w:val="0"/>
                <w:sz w:val="21"/>
                <w:szCs w:val="21"/>
              </w:rPr>
              <w:t xml:space="preserve"> </w:t>
            </w:r>
            <w:r>
              <w:rPr>
                <w:rFonts w:eastAsia="等线" w:cs="Times New Roman"/>
                <w:i/>
                <w:iCs/>
                <w:color w:val="000000"/>
                <w:kern w:val="0"/>
                <w:sz w:val="21"/>
                <w:szCs w:val="21"/>
              </w:rPr>
              <w:t>Spiraea alpina</w:t>
            </w:r>
            <w:r>
              <w:rPr>
                <w:rFonts w:eastAsia="等线" w:cs="Times New Roman"/>
                <w:color w:val="000000"/>
                <w:kern w:val="0"/>
                <w:sz w:val="21"/>
                <w:szCs w:val="21"/>
              </w:rPr>
              <w:t xml:space="preserve"> </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49</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窄叶鲜卑花</w:t>
            </w:r>
            <w:r>
              <w:rPr>
                <w:rFonts w:eastAsia="等线" w:cs="Times New Roman"/>
                <w:color w:val="000000"/>
                <w:kern w:val="0"/>
                <w:sz w:val="21"/>
                <w:szCs w:val="21"/>
              </w:rPr>
              <w:t xml:space="preserve"> </w:t>
            </w:r>
            <w:r>
              <w:rPr>
                <w:rFonts w:eastAsia="等线" w:cs="Times New Roman"/>
                <w:i/>
                <w:iCs/>
                <w:color w:val="000000"/>
                <w:kern w:val="0"/>
                <w:sz w:val="21"/>
                <w:szCs w:val="21"/>
              </w:rPr>
              <w:t>Sibiraea angustata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50</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匍匐栒子</w:t>
            </w:r>
            <w:r>
              <w:rPr>
                <w:rFonts w:eastAsia="等线" w:cs="Times New Roman"/>
                <w:i/>
                <w:iCs/>
                <w:color w:val="000000"/>
                <w:kern w:val="0"/>
                <w:sz w:val="21"/>
                <w:szCs w:val="21"/>
              </w:rPr>
              <w:t>Cotoneaster adpressus</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51</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无尾果</w:t>
            </w:r>
            <w:r>
              <w:rPr>
                <w:rFonts w:eastAsia="等线" w:cs="Times New Roman"/>
                <w:color w:val="000000"/>
                <w:kern w:val="0"/>
                <w:sz w:val="21"/>
                <w:szCs w:val="21"/>
              </w:rPr>
              <w:t xml:space="preserve"> </w:t>
            </w:r>
            <w:r>
              <w:rPr>
                <w:rFonts w:eastAsia="等线" w:cs="Times New Roman"/>
                <w:i/>
                <w:iCs/>
                <w:color w:val="000000"/>
                <w:kern w:val="0"/>
                <w:sz w:val="21"/>
                <w:szCs w:val="21"/>
              </w:rPr>
              <w:t>Coluria longifolia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总规资料</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52</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东方草莓</w:t>
            </w:r>
            <w:r>
              <w:rPr>
                <w:rFonts w:eastAsia="等线" w:cs="Times New Roman"/>
                <w:i/>
                <w:iCs/>
                <w:color w:val="000000"/>
                <w:kern w:val="0"/>
                <w:sz w:val="21"/>
                <w:szCs w:val="21"/>
              </w:rPr>
              <w:t>Fragaria orientahs</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53</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银露梅</w:t>
            </w:r>
            <w:r>
              <w:rPr>
                <w:rFonts w:eastAsia="等线" w:cs="Times New Roman"/>
                <w:color w:val="000000"/>
                <w:kern w:val="0"/>
                <w:sz w:val="21"/>
                <w:szCs w:val="21"/>
              </w:rPr>
              <w:t xml:space="preserve"> </w:t>
            </w:r>
            <w:r>
              <w:rPr>
                <w:rFonts w:eastAsia="等线" w:cs="Times New Roman"/>
                <w:i/>
                <w:iCs/>
                <w:color w:val="000000"/>
                <w:kern w:val="0"/>
                <w:sz w:val="21"/>
                <w:szCs w:val="21"/>
              </w:rPr>
              <w:t>Dasiphora glabra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54</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金露梅</w:t>
            </w:r>
            <w:r>
              <w:rPr>
                <w:rFonts w:eastAsia="等线" w:cs="Times New Roman"/>
                <w:color w:val="000000"/>
                <w:kern w:val="0"/>
                <w:sz w:val="21"/>
                <w:szCs w:val="21"/>
              </w:rPr>
              <w:t xml:space="preserve"> </w:t>
            </w:r>
            <w:r>
              <w:rPr>
                <w:rFonts w:eastAsia="等线" w:cs="Times New Roman"/>
                <w:i/>
                <w:iCs/>
                <w:color w:val="000000"/>
                <w:kern w:val="0"/>
                <w:sz w:val="21"/>
                <w:szCs w:val="21"/>
              </w:rPr>
              <w:t>Dasiphora fruticosa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55</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鹅绒委陵菜</w:t>
            </w:r>
            <w:r>
              <w:rPr>
                <w:rFonts w:eastAsia="等线" w:cs="Times New Roman"/>
                <w:color w:val="000000"/>
                <w:kern w:val="0"/>
                <w:sz w:val="21"/>
                <w:szCs w:val="21"/>
              </w:rPr>
              <w:t xml:space="preserve"> </w:t>
            </w:r>
            <w:r>
              <w:rPr>
                <w:rFonts w:eastAsia="等线" w:cs="Times New Roman"/>
                <w:i/>
                <w:iCs/>
                <w:color w:val="000000"/>
                <w:kern w:val="0"/>
                <w:sz w:val="21"/>
                <w:szCs w:val="21"/>
              </w:rPr>
              <w:t>Potentilla anserina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56</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楔叶委陵菜</w:t>
            </w:r>
            <w:r>
              <w:rPr>
                <w:rFonts w:eastAsia="等线" w:cs="Times New Roman"/>
                <w:color w:val="000000"/>
                <w:kern w:val="0"/>
                <w:sz w:val="21"/>
                <w:szCs w:val="21"/>
              </w:rPr>
              <w:t xml:space="preserve"> </w:t>
            </w:r>
            <w:r>
              <w:rPr>
                <w:rFonts w:eastAsia="等线" w:cs="Times New Roman"/>
                <w:i/>
                <w:iCs/>
                <w:color w:val="000000"/>
                <w:kern w:val="0"/>
                <w:sz w:val="21"/>
                <w:szCs w:val="21"/>
              </w:rPr>
              <w:t>Potentilla ambigua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57</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豆科Leguminosae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披针叶黄华</w:t>
            </w:r>
            <w:r>
              <w:rPr>
                <w:rFonts w:eastAsia="等线" w:cs="Times New Roman"/>
                <w:color w:val="000000"/>
                <w:kern w:val="0"/>
                <w:sz w:val="21"/>
                <w:szCs w:val="21"/>
              </w:rPr>
              <w:t xml:space="preserve"> </w:t>
            </w:r>
            <w:r>
              <w:rPr>
                <w:rFonts w:eastAsia="等线" w:cs="Times New Roman"/>
                <w:i/>
                <w:iCs/>
                <w:color w:val="000000"/>
                <w:kern w:val="0"/>
                <w:sz w:val="21"/>
                <w:szCs w:val="21"/>
              </w:rPr>
              <w:t>Thermopsis lanceolata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58</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川西锦鸡儿</w:t>
            </w:r>
            <w:r>
              <w:rPr>
                <w:rFonts w:eastAsia="等线" w:cs="Times New Roman"/>
                <w:i/>
                <w:iCs/>
                <w:color w:val="000000"/>
                <w:kern w:val="0"/>
                <w:sz w:val="21"/>
                <w:szCs w:val="21"/>
              </w:rPr>
              <w:t xml:space="preserve"> Caragana erinacea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59</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异叶米口袋</w:t>
            </w:r>
            <w:r>
              <w:rPr>
                <w:rFonts w:eastAsia="等线" w:cs="Times New Roman"/>
                <w:color w:val="000000"/>
                <w:kern w:val="0"/>
                <w:sz w:val="21"/>
                <w:szCs w:val="21"/>
              </w:rPr>
              <w:t xml:space="preserve"> </w:t>
            </w:r>
            <w:r>
              <w:rPr>
                <w:rFonts w:eastAsia="等线" w:cs="Times New Roman"/>
                <w:i/>
                <w:iCs/>
                <w:color w:val="000000"/>
                <w:kern w:val="0"/>
                <w:sz w:val="21"/>
                <w:szCs w:val="21"/>
              </w:rPr>
              <w:t>Gueldenstaedtia diversifoha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60</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牻牛儿苗科Geraniaceae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巴塘老鹳草</w:t>
            </w:r>
            <w:r>
              <w:rPr>
                <w:rFonts w:eastAsia="等线" w:cs="Times New Roman"/>
                <w:color w:val="000000"/>
                <w:kern w:val="0"/>
                <w:sz w:val="21"/>
                <w:szCs w:val="21"/>
              </w:rPr>
              <w:t xml:space="preserve"> </w:t>
            </w:r>
            <w:r>
              <w:rPr>
                <w:rFonts w:eastAsia="等线" w:cs="Times New Roman"/>
                <w:i/>
                <w:iCs/>
                <w:color w:val="000000"/>
                <w:kern w:val="0"/>
                <w:sz w:val="21"/>
                <w:szCs w:val="21"/>
              </w:rPr>
              <w:t>Geranium batangense</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61</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甘青老鹳草</w:t>
            </w:r>
            <w:r>
              <w:rPr>
                <w:rFonts w:eastAsia="等线" w:cs="Times New Roman"/>
                <w:color w:val="000000"/>
                <w:kern w:val="0"/>
                <w:sz w:val="21"/>
                <w:szCs w:val="21"/>
              </w:rPr>
              <w:t xml:space="preserve"> </w:t>
            </w:r>
            <w:r>
              <w:rPr>
                <w:rFonts w:eastAsia="等线" w:cs="Times New Roman"/>
                <w:i/>
                <w:iCs/>
                <w:color w:val="000000"/>
                <w:kern w:val="0"/>
                <w:sz w:val="21"/>
                <w:szCs w:val="21"/>
              </w:rPr>
              <w:t>Geranium pylzowianum</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62</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堇菜科Violaceae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圆叶小堇菜</w:t>
            </w:r>
            <w:r>
              <w:rPr>
                <w:rFonts w:eastAsia="等线" w:cs="Times New Roman"/>
                <w:i/>
                <w:iCs/>
                <w:color w:val="000000"/>
                <w:kern w:val="0"/>
                <w:sz w:val="21"/>
                <w:szCs w:val="21"/>
              </w:rPr>
              <w:t>Viola rockiana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63</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瑞香科Thymelaeaceae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狼毒</w:t>
            </w:r>
            <w:r>
              <w:rPr>
                <w:rFonts w:eastAsia="等线" w:cs="Times New Roman"/>
                <w:color w:val="000000"/>
                <w:kern w:val="0"/>
                <w:sz w:val="21"/>
                <w:szCs w:val="21"/>
              </w:rPr>
              <w:t xml:space="preserve"> </w:t>
            </w:r>
            <w:r>
              <w:rPr>
                <w:rFonts w:eastAsia="等线" w:cs="Times New Roman"/>
                <w:i/>
                <w:iCs/>
                <w:color w:val="000000"/>
                <w:kern w:val="0"/>
                <w:sz w:val="21"/>
                <w:szCs w:val="21"/>
              </w:rPr>
              <w:t>Stellera chamaejasme</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64</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柳叶菜科Onagraceae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沼生柳叶菜</w:t>
            </w:r>
            <w:r>
              <w:rPr>
                <w:rFonts w:eastAsia="等线" w:cs="Times New Roman"/>
                <w:color w:val="000000"/>
                <w:kern w:val="0"/>
                <w:sz w:val="21"/>
                <w:szCs w:val="21"/>
              </w:rPr>
              <w:t xml:space="preserve"> </w:t>
            </w:r>
            <w:r>
              <w:rPr>
                <w:rFonts w:eastAsia="等线" w:cs="Times New Roman"/>
                <w:i/>
                <w:iCs/>
                <w:color w:val="000000"/>
                <w:kern w:val="0"/>
                <w:sz w:val="21"/>
                <w:szCs w:val="21"/>
              </w:rPr>
              <w:t>Epilobium palustre</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65</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柳兰</w:t>
            </w:r>
            <w:r>
              <w:rPr>
                <w:rFonts w:eastAsia="等线" w:cs="Times New Roman"/>
                <w:color w:val="000000"/>
                <w:kern w:val="0"/>
                <w:sz w:val="21"/>
                <w:szCs w:val="21"/>
              </w:rPr>
              <w:t xml:space="preserve"> </w:t>
            </w:r>
            <w:r>
              <w:rPr>
                <w:rFonts w:eastAsia="等线" w:cs="Times New Roman"/>
                <w:i/>
                <w:iCs/>
                <w:color w:val="000000"/>
                <w:kern w:val="0"/>
                <w:sz w:val="21"/>
                <w:szCs w:val="21"/>
              </w:rPr>
              <w:t>Chamaenerion angustifohum</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66</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杉叶藻科</w:t>
            </w:r>
            <w:r>
              <w:rPr>
                <w:rFonts w:eastAsia="等线" w:cs="Times New Roman"/>
                <w:b/>
                <w:bCs/>
                <w:color w:val="000000"/>
                <w:kern w:val="0"/>
                <w:sz w:val="21"/>
                <w:szCs w:val="21"/>
              </w:rPr>
              <w:t>Hippuridaceae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杉叶藻</w:t>
            </w:r>
            <w:r>
              <w:rPr>
                <w:rFonts w:eastAsia="等线" w:cs="Times New Roman"/>
                <w:color w:val="000000"/>
                <w:kern w:val="0"/>
                <w:sz w:val="21"/>
                <w:szCs w:val="21"/>
              </w:rPr>
              <w:t xml:space="preserve"> </w:t>
            </w:r>
            <w:r>
              <w:rPr>
                <w:rFonts w:eastAsia="等线" w:cs="Times New Roman"/>
                <w:i/>
                <w:iCs/>
                <w:color w:val="000000"/>
                <w:kern w:val="0"/>
                <w:sz w:val="21"/>
                <w:szCs w:val="21"/>
              </w:rPr>
              <w:t>Hippuris vulgaris</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67</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伞形科</w:t>
            </w:r>
            <w:r>
              <w:rPr>
                <w:rFonts w:eastAsia="等线" w:cs="Times New Roman"/>
                <w:b/>
                <w:bCs/>
                <w:color w:val="000000"/>
                <w:kern w:val="0"/>
                <w:sz w:val="21"/>
                <w:szCs w:val="21"/>
              </w:rPr>
              <w:t>Umbemferae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矮泽芹</w:t>
            </w:r>
            <w:r>
              <w:rPr>
                <w:rFonts w:eastAsia="等线" w:cs="Times New Roman"/>
                <w:color w:val="000000"/>
                <w:kern w:val="0"/>
                <w:sz w:val="21"/>
                <w:szCs w:val="21"/>
              </w:rPr>
              <w:t xml:space="preserve"> </w:t>
            </w:r>
            <w:r>
              <w:rPr>
                <w:rFonts w:eastAsia="等线" w:cs="Times New Roman"/>
                <w:i/>
                <w:iCs/>
                <w:color w:val="000000"/>
                <w:kern w:val="0"/>
                <w:sz w:val="21"/>
                <w:szCs w:val="21"/>
              </w:rPr>
              <w:t>Chamaesium paradoxum</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68</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杜鹃花科</w:t>
            </w:r>
            <w:r>
              <w:rPr>
                <w:rFonts w:eastAsia="等线" w:cs="Times New Roman"/>
                <w:b/>
                <w:bCs/>
                <w:color w:val="000000"/>
                <w:kern w:val="0"/>
                <w:sz w:val="21"/>
                <w:szCs w:val="21"/>
              </w:rPr>
              <w:t>Ericaceae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陇蜀杜鹃</w:t>
            </w:r>
            <w:r>
              <w:rPr>
                <w:rFonts w:eastAsia="等线" w:cs="Times New Roman"/>
                <w:color w:val="000000"/>
                <w:kern w:val="0"/>
                <w:sz w:val="21"/>
                <w:szCs w:val="21"/>
              </w:rPr>
              <w:t xml:space="preserve"> </w:t>
            </w:r>
            <w:r>
              <w:rPr>
                <w:rFonts w:eastAsia="等线" w:cs="Times New Roman"/>
                <w:i/>
                <w:iCs/>
                <w:color w:val="000000"/>
                <w:kern w:val="0"/>
                <w:sz w:val="21"/>
                <w:szCs w:val="21"/>
              </w:rPr>
              <w:t>Rhododendron przewalskii</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69</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光亮杜鹃</w:t>
            </w:r>
            <w:r>
              <w:rPr>
                <w:rFonts w:eastAsia="等线" w:cs="Times New Roman"/>
                <w:color w:val="000000"/>
                <w:kern w:val="0"/>
                <w:sz w:val="21"/>
                <w:szCs w:val="21"/>
              </w:rPr>
              <w:t xml:space="preserve"> </w:t>
            </w:r>
            <w:r>
              <w:rPr>
                <w:rFonts w:eastAsia="等线" w:cs="Times New Roman"/>
                <w:i/>
                <w:iCs/>
                <w:color w:val="000000"/>
                <w:kern w:val="0"/>
                <w:sz w:val="21"/>
                <w:szCs w:val="21"/>
              </w:rPr>
              <w:t>Rhododendron nitidulum</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70</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北方雪层杜鹃</w:t>
            </w:r>
            <w:r>
              <w:rPr>
                <w:rFonts w:eastAsia="等线" w:cs="Times New Roman"/>
                <w:color w:val="000000"/>
                <w:kern w:val="0"/>
                <w:sz w:val="21"/>
                <w:szCs w:val="21"/>
              </w:rPr>
              <w:t xml:space="preserve"> </w:t>
            </w:r>
            <w:r>
              <w:rPr>
                <w:rFonts w:eastAsia="等线" w:cs="Times New Roman"/>
                <w:i/>
                <w:iCs/>
                <w:color w:val="000000"/>
                <w:kern w:val="0"/>
                <w:sz w:val="21"/>
                <w:szCs w:val="21"/>
              </w:rPr>
              <w:t>Rhododendron violaceum</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71</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报春花科</w:t>
            </w:r>
            <w:r>
              <w:rPr>
                <w:rFonts w:eastAsia="等线" w:cs="Times New Roman"/>
                <w:b/>
                <w:bCs/>
                <w:color w:val="000000"/>
                <w:kern w:val="0"/>
                <w:sz w:val="21"/>
                <w:szCs w:val="21"/>
              </w:rPr>
              <w:t>Primulaceae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垂花报春</w:t>
            </w:r>
            <w:r>
              <w:rPr>
                <w:rFonts w:eastAsia="等线" w:cs="Times New Roman"/>
                <w:i/>
                <w:iCs/>
                <w:color w:val="000000"/>
                <w:kern w:val="0"/>
                <w:sz w:val="21"/>
                <w:szCs w:val="21"/>
              </w:rPr>
              <w:t xml:space="preserve"> Primula nutans</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72</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甘青报春</w:t>
            </w:r>
            <w:r>
              <w:rPr>
                <w:rFonts w:eastAsia="等线" w:cs="Times New Roman"/>
                <w:color w:val="000000"/>
                <w:kern w:val="0"/>
                <w:sz w:val="21"/>
                <w:szCs w:val="21"/>
              </w:rPr>
              <w:t xml:space="preserve"> </w:t>
            </w:r>
            <w:r>
              <w:rPr>
                <w:rFonts w:eastAsia="等线" w:cs="Times New Roman"/>
                <w:i/>
                <w:iCs/>
                <w:color w:val="000000"/>
                <w:kern w:val="0"/>
                <w:sz w:val="21"/>
                <w:szCs w:val="21"/>
              </w:rPr>
              <w:t xml:space="preserve"> Primula tangutica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73</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西藏点地梅</w:t>
            </w:r>
            <w:r>
              <w:rPr>
                <w:rFonts w:eastAsia="等线" w:cs="Times New Roman"/>
                <w:color w:val="000000"/>
                <w:kern w:val="0"/>
                <w:sz w:val="21"/>
                <w:szCs w:val="21"/>
              </w:rPr>
              <w:t xml:space="preserve">  </w:t>
            </w:r>
            <w:r>
              <w:rPr>
                <w:rFonts w:eastAsia="等线" w:cs="Times New Roman"/>
                <w:i/>
                <w:iCs/>
                <w:color w:val="000000"/>
                <w:kern w:val="0"/>
                <w:sz w:val="21"/>
                <w:szCs w:val="21"/>
              </w:rPr>
              <w:t>Androsace mariae</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74</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龙胆科</w:t>
            </w:r>
            <w:r>
              <w:rPr>
                <w:rFonts w:eastAsia="等线" w:cs="Times New Roman"/>
                <w:b/>
                <w:bCs/>
                <w:color w:val="000000"/>
                <w:kern w:val="0"/>
                <w:sz w:val="21"/>
                <w:szCs w:val="21"/>
              </w:rPr>
              <w:t>Gentianaceae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蓝白龙胆</w:t>
            </w:r>
            <w:r>
              <w:rPr>
                <w:rFonts w:eastAsia="等线" w:cs="Times New Roman"/>
                <w:color w:val="000000"/>
                <w:kern w:val="0"/>
                <w:sz w:val="21"/>
                <w:szCs w:val="21"/>
              </w:rPr>
              <w:t xml:space="preserve"> </w:t>
            </w:r>
            <w:r>
              <w:rPr>
                <w:rFonts w:eastAsia="等线" w:cs="Times New Roman"/>
                <w:i/>
                <w:iCs/>
                <w:color w:val="000000"/>
                <w:kern w:val="0"/>
                <w:sz w:val="21"/>
                <w:szCs w:val="21"/>
              </w:rPr>
              <w:t>Gentiana leucomelaena</w:t>
            </w:r>
            <w:r>
              <w:rPr>
                <w:rFonts w:eastAsia="等线" w:cs="Times New Roman"/>
                <w:color w:val="000000"/>
                <w:kern w:val="0"/>
                <w:sz w:val="21"/>
                <w:szCs w:val="21"/>
              </w:rPr>
              <w:t xml:space="preserve">  </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75</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华丽龙胆</w:t>
            </w:r>
            <w:r>
              <w:rPr>
                <w:rFonts w:eastAsia="等线" w:cs="Times New Roman"/>
                <w:color w:val="000000"/>
                <w:kern w:val="0"/>
                <w:sz w:val="21"/>
                <w:szCs w:val="21"/>
              </w:rPr>
              <w:t xml:space="preserve"> </w:t>
            </w:r>
            <w:r>
              <w:rPr>
                <w:rFonts w:eastAsia="等线" w:cs="Times New Roman"/>
                <w:i/>
                <w:iCs/>
                <w:color w:val="000000"/>
                <w:kern w:val="0"/>
                <w:sz w:val="21"/>
                <w:szCs w:val="21"/>
              </w:rPr>
              <w:t>Gentiana sino-ornata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76</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麻花艽</w:t>
            </w:r>
            <w:r>
              <w:rPr>
                <w:rFonts w:eastAsia="等线" w:cs="Times New Roman"/>
                <w:color w:val="000000"/>
                <w:kern w:val="0"/>
                <w:sz w:val="21"/>
                <w:szCs w:val="21"/>
              </w:rPr>
              <w:t xml:space="preserve"> </w:t>
            </w:r>
            <w:r>
              <w:rPr>
                <w:rFonts w:eastAsia="等线" w:cs="Times New Roman"/>
                <w:i/>
                <w:iCs/>
                <w:color w:val="000000"/>
                <w:kern w:val="0"/>
                <w:sz w:val="21"/>
                <w:szCs w:val="21"/>
              </w:rPr>
              <w:t>Gentiana straminea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77</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蓝玉簪龙胆</w:t>
            </w:r>
            <w:r>
              <w:rPr>
                <w:rFonts w:eastAsia="等线" w:cs="Times New Roman"/>
                <w:color w:val="000000"/>
                <w:kern w:val="0"/>
                <w:sz w:val="21"/>
                <w:szCs w:val="21"/>
              </w:rPr>
              <w:t xml:space="preserve"> </w:t>
            </w:r>
            <w:r>
              <w:rPr>
                <w:rFonts w:eastAsia="等线" w:cs="Times New Roman"/>
                <w:i/>
                <w:iCs/>
                <w:color w:val="000000"/>
                <w:kern w:val="0"/>
                <w:sz w:val="21"/>
                <w:szCs w:val="21"/>
              </w:rPr>
              <w:t>Gentiana veitchiorum</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78</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湿生扁蕾</w:t>
            </w:r>
            <w:r>
              <w:rPr>
                <w:rFonts w:eastAsia="等线" w:cs="Times New Roman"/>
                <w:color w:val="000000"/>
                <w:kern w:val="0"/>
                <w:sz w:val="21"/>
                <w:szCs w:val="21"/>
              </w:rPr>
              <w:t xml:space="preserve"> </w:t>
            </w:r>
            <w:r>
              <w:rPr>
                <w:rFonts w:eastAsia="等线" w:cs="Times New Roman"/>
                <w:i/>
                <w:iCs/>
                <w:color w:val="000000"/>
                <w:kern w:val="0"/>
                <w:sz w:val="21"/>
                <w:szCs w:val="21"/>
              </w:rPr>
              <w:t>Gentiana paludosa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79</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椭圆叶花锚</w:t>
            </w:r>
            <w:r>
              <w:rPr>
                <w:rFonts w:eastAsia="等线" w:cs="Times New Roman"/>
                <w:color w:val="000000"/>
                <w:kern w:val="0"/>
                <w:sz w:val="21"/>
                <w:szCs w:val="21"/>
              </w:rPr>
              <w:t xml:space="preserve"> </w:t>
            </w:r>
            <w:r>
              <w:rPr>
                <w:rFonts w:eastAsia="等线" w:cs="Times New Roman"/>
                <w:i/>
                <w:iCs/>
                <w:color w:val="000000"/>
                <w:kern w:val="0"/>
                <w:sz w:val="21"/>
                <w:szCs w:val="21"/>
              </w:rPr>
              <w:t>Halenia elliptica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80</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紫草科</w:t>
            </w:r>
            <w:r>
              <w:rPr>
                <w:rFonts w:eastAsia="等线" w:cs="Times New Roman"/>
                <w:b/>
                <w:bCs/>
                <w:color w:val="000000"/>
                <w:kern w:val="0"/>
                <w:sz w:val="21"/>
                <w:szCs w:val="21"/>
              </w:rPr>
              <w:t>Boraginaceae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微孔草</w:t>
            </w:r>
            <w:r>
              <w:rPr>
                <w:rFonts w:eastAsia="等线" w:cs="Times New Roman"/>
                <w:color w:val="000000"/>
                <w:kern w:val="0"/>
                <w:sz w:val="21"/>
                <w:szCs w:val="21"/>
              </w:rPr>
              <w:t xml:space="preserve"> </w:t>
            </w:r>
            <w:r>
              <w:rPr>
                <w:rFonts w:eastAsia="等线" w:cs="Times New Roman"/>
                <w:i/>
                <w:iCs/>
                <w:color w:val="000000"/>
                <w:kern w:val="0"/>
                <w:sz w:val="21"/>
                <w:szCs w:val="21"/>
              </w:rPr>
              <w:t>Microula sikkimensis</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81</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唇形科</w:t>
            </w:r>
            <w:r>
              <w:rPr>
                <w:rFonts w:eastAsia="等线" w:cs="Times New Roman"/>
                <w:b/>
                <w:bCs/>
                <w:color w:val="000000"/>
                <w:kern w:val="0"/>
                <w:sz w:val="21"/>
                <w:szCs w:val="21"/>
              </w:rPr>
              <w:t>Labiatae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白苞筋骨草</w:t>
            </w:r>
            <w:r>
              <w:rPr>
                <w:rFonts w:eastAsia="等线" w:cs="Times New Roman"/>
                <w:color w:val="000000"/>
                <w:kern w:val="0"/>
                <w:sz w:val="21"/>
                <w:szCs w:val="21"/>
              </w:rPr>
              <w:t xml:space="preserve"> </w:t>
            </w:r>
            <w:r>
              <w:rPr>
                <w:rFonts w:eastAsia="等线" w:cs="Times New Roman"/>
                <w:i/>
                <w:iCs/>
                <w:color w:val="000000"/>
                <w:kern w:val="0"/>
                <w:sz w:val="21"/>
                <w:szCs w:val="21"/>
              </w:rPr>
              <w:t xml:space="preserve">Ajuga lupulina </w:t>
            </w:r>
            <w:r>
              <w:rPr>
                <w:rFonts w:eastAsia="等线" w:cs="Times New Roman"/>
                <w:color w:val="000000"/>
                <w:kern w:val="0"/>
                <w:sz w:val="21"/>
                <w:szCs w:val="21"/>
              </w:rPr>
              <w:t xml:space="preserve"> </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82</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独一味</w:t>
            </w:r>
            <w:r>
              <w:rPr>
                <w:rFonts w:eastAsia="等线" w:cs="Times New Roman"/>
                <w:i/>
                <w:iCs/>
                <w:color w:val="000000"/>
                <w:kern w:val="0"/>
                <w:sz w:val="21"/>
                <w:szCs w:val="21"/>
              </w:rPr>
              <w:t xml:space="preserve"> Lamiophlomis rotata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83</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甘西鼠尾草</w:t>
            </w:r>
            <w:r>
              <w:rPr>
                <w:rFonts w:eastAsia="等线" w:cs="Times New Roman"/>
                <w:color w:val="000000"/>
                <w:kern w:val="0"/>
                <w:sz w:val="21"/>
                <w:szCs w:val="21"/>
              </w:rPr>
              <w:t xml:space="preserve"> </w:t>
            </w:r>
            <w:r>
              <w:rPr>
                <w:rFonts w:eastAsia="等线" w:cs="Times New Roman"/>
                <w:i/>
                <w:iCs/>
                <w:color w:val="000000"/>
                <w:kern w:val="0"/>
                <w:sz w:val="21"/>
                <w:szCs w:val="21"/>
              </w:rPr>
              <w:t>Salvia przewalskii</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84</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玄参科</w:t>
            </w:r>
            <w:r>
              <w:rPr>
                <w:rFonts w:eastAsia="等线" w:cs="Times New Roman"/>
                <w:b/>
                <w:bCs/>
                <w:color w:val="000000"/>
                <w:kern w:val="0"/>
                <w:sz w:val="21"/>
                <w:szCs w:val="21"/>
              </w:rPr>
              <w:t>Scrophulariaceae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肉果草</w:t>
            </w:r>
            <w:r>
              <w:rPr>
                <w:rFonts w:eastAsia="等线" w:cs="Times New Roman"/>
                <w:color w:val="000000"/>
                <w:kern w:val="0"/>
                <w:sz w:val="21"/>
                <w:szCs w:val="21"/>
              </w:rPr>
              <w:t xml:space="preserve"> </w:t>
            </w:r>
            <w:r>
              <w:rPr>
                <w:rFonts w:eastAsia="等线" w:cs="Times New Roman"/>
                <w:i/>
                <w:iCs/>
                <w:color w:val="000000"/>
                <w:kern w:val="0"/>
                <w:sz w:val="21"/>
                <w:szCs w:val="21"/>
              </w:rPr>
              <w:t>Lancea tibetica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85</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圆穗兔耳草</w:t>
            </w:r>
            <w:r>
              <w:rPr>
                <w:rFonts w:eastAsia="等线" w:cs="Times New Roman"/>
                <w:i/>
                <w:iCs/>
                <w:color w:val="000000"/>
                <w:kern w:val="0"/>
                <w:sz w:val="21"/>
                <w:szCs w:val="21"/>
              </w:rPr>
              <w:t>Lagotis ramalana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86</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华马先蒿</w:t>
            </w:r>
            <w:r>
              <w:rPr>
                <w:rFonts w:eastAsia="等线" w:cs="Times New Roman"/>
                <w:color w:val="000000"/>
                <w:kern w:val="0"/>
                <w:sz w:val="21"/>
                <w:szCs w:val="21"/>
              </w:rPr>
              <w:t xml:space="preserve"> </w:t>
            </w:r>
            <w:r>
              <w:rPr>
                <w:rFonts w:eastAsia="等线" w:cs="Times New Roman"/>
                <w:i/>
                <w:iCs/>
                <w:color w:val="000000"/>
                <w:kern w:val="0"/>
                <w:sz w:val="21"/>
                <w:szCs w:val="21"/>
              </w:rPr>
              <w:t>Pedieularis oederi</w:t>
            </w:r>
            <w:r>
              <w:rPr>
                <w:rFonts w:eastAsia="等线" w:cs="Times New Roman"/>
                <w:color w:val="000000"/>
                <w:kern w:val="0"/>
                <w:sz w:val="21"/>
                <w:szCs w:val="21"/>
              </w:rPr>
              <w:t xml:space="preserve"> </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87</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斑唇马先蒿</w:t>
            </w:r>
            <w:r>
              <w:rPr>
                <w:rFonts w:eastAsia="等线" w:cs="Times New Roman"/>
                <w:color w:val="000000"/>
                <w:kern w:val="0"/>
                <w:sz w:val="21"/>
                <w:szCs w:val="21"/>
              </w:rPr>
              <w:t xml:space="preserve"> </w:t>
            </w:r>
            <w:r>
              <w:rPr>
                <w:rFonts w:eastAsia="等线" w:cs="Times New Roman"/>
                <w:i/>
                <w:iCs/>
                <w:color w:val="000000"/>
                <w:kern w:val="0"/>
                <w:sz w:val="21"/>
                <w:szCs w:val="21"/>
              </w:rPr>
              <w:t>Pedieularis longiflora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88</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忍冬科</w:t>
            </w:r>
            <w:r>
              <w:rPr>
                <w:rFonts w:eastAsia="等线" w:cs="Times New Roman"/>
                <w:b/>
                <w:bCs/>
                <w:color w:val="000000"/>
                <w:kern w:val="0"/>
                <w:sz w:val="21"/>
                <w:szCs w:val="21"/>
              </w:rPr>
              <w:t>Caprifohaceae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陇塞忍冬</w:t>
            </w:r>
            <w:r>
              <w:rPr>
                <w:rFonts w:eastAsia="等线" w:cs="Times New Roman"/>
                <w:color w:val="000000"/>
                <w:kern w:val="0"/>
                <w:sz w:val="21"/>
                <w:szCs w:val="21"/>
              </w:rPr>
              <w:t xml:space="preserve"> </w:t>
            </w:r>
            <w:r>
              <w:rPr>
                <w:rFonts w:eastAsia="等线" w:cs="Times New Roman"/>
                <w:i/>
                <w:iCs/>
                <w:color w:val="000000"/>
                <w:kern w:val="0"/>
                <w:sz w:val="21"/>
                <w:szCs w:val="21"/>
              </w:rPr>
              <w:t>Lonicera tangutica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89</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川续断科</w:t>
            </w:r>
            <w:r>
              <w:rPr>
                <w:rFonts w:eastAsia="等线" w:cs="Times New Roman"/>
                <w:b/>
                <w:bCs/>
                <w:color w:val="000000"/>
                <w:kern w:val="0"/>
                <w:sz w:val="21"/>
                <w:szCs w:val="21"/>
              </w:rPr>
              <w:t>Dipsacaceae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白花刺参</w:t>
            </w:r>
            <w:r>
              <w:rPr>
                <w:rFonts w:eastAsia="等线" w:cs="Times New Roman"/>
                <w:color w:val="000000"/>
                <w:kern w:val="0"/>
                <w:sz w:val="21"/>
                <w:szCs w:val="21"/>
              </w:rPr>
              <w:t xml:space="preserve"> </w:t>
            </w:r>
            <w:r>
              <w:rPr>
                <w:rFonts w:eastAsia="等线" w:cs="Times New Roman"/>
                <w:i/>
                <w:iCs/>
                <w:color w:val="000000"/>
                <w:kern w:val="0"/>
                <w:sz w:val="21"/>
                <w:szCs w:val="21"/>
              </w:rPr>
              <w:t>Morina alba</w:t>
            </w:r>
            <w:r>
              <w:rPr>
                <w:rFonts w:eastAsia="等线" w:cs="Times New Roman"/>
                <w:color w:val="000000"/>
                <w:kern w:val="0"/>
                <w:sz w:val="21"/>
                <w:szCs w:val="21"/>
              </w:rPr>
              <w:t xml:space="preserve">  </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90</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菊科</w:t>
            </w:r>
            <w:r>
              <w:rPr>
                <w:rFonts w:eastAsia="等线" w:cs="Times New Roman"/>
                <w:b/>
                <w:bCs/>
                <w:color w:val="000000"/>
                <w:kern w:val="0"/>
                <w:sz w:val="21"/>
                <w:szCs w:val="21"/>
              </w:rPr>
              <w:t>Compositae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缘毛紫菀</w:t>
            </w:r>
            <w:r>
              <w:rPr>
                <w:rFonts w:eastAsia="等线" w:cs="Times New Roman"/>
                <w:color w:val="000000"/>
                <w:kern w:val="0"/>
                <w:sz w:val="21"/>
                <w:szCs w:val="21"/>
              </w:rPr>
              <w:t xml:space="preserve"> </w:t>
            </w:r>
            <w:r>
              <w:rPr>
                <w:rFonts w:eastAsia="等线" w:cs="Times New Roman"/>
                <w:i/>
                <w:iCs/>
                <w:color w:val="000000"/>
                <w:kern w:val="0"/>
                <w:sz w:val="21"/>
                <w:szCs w:val="21"/>
              </w:rPr>
              <w:t>Aster souliei</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91</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川西小黄菊</w:t>
            </w:r>
            <w:r>
              <w:rPr>
                <w:rFonts w:eastAsia="等线" w:cs="Times New Roman"/>
                <w:color w:val="000000"/>
                <w:kern w:val="0"/>
                <w:sz w:val="21"/>
                <w:szCs w:val="21"/>
              </w:rPr>
              <w:t xml:space="preserve"> </w:t>
            </w:r>
            <w:r>
              <w:rPr>
                <w:rFonts w:eastAsia="等线" w:cs="Times New Roman"/>
                <w:i/>
                <w:iCs/>
                <w:color w:val="000000"/>
                <w:kern w:val="0"/>
                <w:sz w:val="21"/>
                <w:szCs w:val="21"/>
              </w:rPr>
              <w:t>Pyrethrum tatsienense</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92</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香芸火绒草</w:t>
            </w:r>
            <w:r>
              <w:rPr>
                <w:rFonts w:eastAsia="等线" w:cs="Times New Roman"/>
                <w:color w:val="000000"/>
                <w:kern w:val="0"/>
                <w:sz w:val="21"/>
                <w:szCs w:val="21"/>
              </w:rPr>
              <w:t xml:space="preserve"> </w:t>
            </w:r>
            <w:r>
              <w:rPr>
                <w:rFonts w:eastAsia="等线" w:cs="Times New Roman"/>
                <w:i/>
                <w:iCs/>
                <w:color w:val="000000"/>
                <w:kern w:val="0"/>
                <w:sz w:val="21"/>
                <w:szCs w:val="21"/>
              </w:rPr>
              <w:t>Leontopodium haplophylloides</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93</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矮火绒草</w:t>
            </w:r>
            <w:r>
              <w:rPr>
                <w:rFonts w:eastAsia="等线" w:cs="Times New Roman"/>
                <w:color w:val="000000"/>
                <w:kern w:val="0"/>
                <w:sz w:val="21"/>
                <w:szCs w:val="21"/>
              </w:rPr>
              <w:t xml:space="preserve"> </w:t>
            </w:r>
            <w:r>
              <w:rPr>
                <w:rFonts w:eastAsia="等线" w:cs="Times New Roman"/>
                <w:i/>
                <w:iCs/>
                <w:color w:val="000000"/>
                <w:kern w:val="0"/>
                <w:sz w:val="21"/>
                <w:szCs w:val="21"/>
              </w:rPr>
              <w:t>Leontopodium nanum</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94</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黄帚橐吾</w:t>
            </w:r>
            <w:r>
              <w:rPr>
                <w:rFonts w:eastAsia="等线" w:cs="Times New Roman"/>
                <w:color w:val="000000"/>
                <w:kern w:val="0"/>
                <w:sz w:val="21"/>
                <w:szCs w:val="21"/>
              </w:rPr>
              <w:t xml:space="preserve"> </w:t>
            </w:r>
            <w:r>
              <w:rPr>
                <w:rFonts w:eastAsia="等线" w:cs="Times New Roman"/>
                <w:i/>
                <w:iCs/>
                <w:color w:val="000000"/>
                <w:kern w:val="0"/>
                <w:sz w:val="21"/>
                <w:szCs w:val="21"/>
              </w:rPr>
              <w:t>Ligularia hodgsonii</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95</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箭叶橐吾</w:t>
            </w:r>
            <w:r>
              <w:rPr>
                <w:rFonts w:eastAsia="等线" w:cs="Times New Roman"/>
                <w:i/>
                <w:iCs/>
                <w:color w:val="000000"/>
                <w:kern w:val="0"/>
                <w:sz w:val="21"/>
                <w:szCs w:val="21"/>
              </w:rPr>
              <w:t xml:space="preserve"> Ligularia sagitta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96</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矮垂头菊</w:t>
            </w:r>
            <w:r>
              <w:rPr>
                <w:rFonts w:eastAsia="等线" w:cs="Times New Roman"/>
                <w:i/>
                <w:iCs/>
                <w:color w:val="000000"/>
                <w:kern w:val="0"/>
                <w:sz w:val="21"/>
                <w:szCs w:val="21"/>
              </w:rPr>
              <w:t>Cremanthodium humue</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97</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戟叶垂头菊</w:t>
            </w:r>
            <w:r>
              <w:rPr>
                <w:rFonts w:eastAsia="等线" w:cs="Times New Roman"/>
                <w:i/>
                <w:iCs/>
                <w:color w:val="000000"/>
                <w:kern w:val="0"/>
                <w:sz w:val="21"/>
                <w:szCs w:val="21"/>
              </w:rPr>
              <w:t xml:space="preserve"> Cremanthodium  potaninii</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98</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星状风毛菊</w:t>
            </w:r>
            <w:r>
              <w:rPr>
                <w:rFonts w:eastAsia="等线" w:cs="Times New Roman"/>
                <w:color w:val="000000"/>
                <w:kern w:val="0"/>
                <w:sz w:val="21"/>
                <w:szCs w:val="21"/>
              </w:rPr>
              <w:t xml:space="preserve"> </w:t>
            </w:r>
            <w:r>
              <w:rPr>
                <w:rFonts w:eastAsia="等线" w:cs="Times New Roman"/>
                <w:i/>
                <w:iCs/>
                <w:color w:val="000000"/>
                <w:kern w:val="0"/>
                <w:sz w:val="21"/>
                <w:szCs w:val="21"/>
              </w:rPr>
              <w:t>Saussurea stella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99</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川藏蒲公英</w:t>
            </w:r>
            <w:r>
              <w:rPr>
                <w:rFonts w:eastAsia="等线" w:cs="Times New Roman"/>
                <w:i/>
                <w:iCs/>
                <w:color w:val="000000"/>
                <w:kern w:val="0"/>
                <w:sz w:val="21"/>
                <w:szCs w:val="21"/>
              </w:rPr>
              <w:t xml:space="preserve">  Taraxacum maurocarpum</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100</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水麦冬科</w:t>
            </w:r>
            <w:r>
              <w:rPr>
                <w:rFonts w:eastAsia="等线" w:cs="Times New Roman"/>
                <w:b/>
                <w:bCs/>
                <w:color w:val="000000"/>
                <w:kern w:val="0"/>
                <w:sz w:val="21"/>
                <w:szCs w:val="21"/>
              </w:rPr>
              <w:t>Juncaginaceae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水麦冬</w:t>
            </w:r>
            <w:r>
              <w:rPr>
                <w:rFonts w:eastAsia="等线" w:cs="Times New Roman"/>
                <w:i/>
                <w:iCs/>
                <w:color w:val="000000"/>
                <w:kern w:val="0"/>
                <w:sz w:val="21"/>
                <w:szCs w:val="21"/>
              </w:rPr>
              <w:t xml:space="preserve"> Trilochin palustre</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总规资料</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101</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眼子菜科</w:t>
            </w:r>
            <w:r>
              <w:rPr>
                <w:rFonts w:eastAsia="等线" w:cs="Times New Roman"/>
                <w:b/>
                <w:bCs/>
                <w:color w:val="000000"/>
                <w:kern w:val="0"/>
                <w:sz w:val="21"/>
                <w:szCs w:val="21"/>
              </w:rPr>
              <w:t>Potamogetonaceae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篦齿眼子菜</w:t>
            </w:r>
            <w:r>
              <w:rPr>
                <w:rFonts w:eastAsia="等线" w:cs="Times New Roman"/>
                <w:color w:val="000000"/>
                <w:kern w:val="0"/>
                <w:sz w:val="21"/>
                <w:szCs w:val="21"/>
              </w:rPr>
              <w:t xml:space="preserve">  </w:t>
            </w:r>
            <w:r>
              <w:rPr>
                <w:rFonts w:eastAsia="等线" w:cs="Times New Roman"/>
                <w:i/>
                <w:iCs/>
                <w:color w:val="000000"/>
                <w:kern w:val="0"/>
                <w:sz w:val="21"/>
                <w:szCs w:val="21"/>
              </w:rPr>
              <w:t>Potamogeton pectinatus</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102</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灯心草科</w:t>
            </w:r>
            <w:r>
              <w:rPr>
                <w:rFonts w:eastAsia="等线" w:cs="Times New Roman"/>
                <w:b/>
                <w:bCs/>
                <w:color w:val="000000"/>
                <w:kern w:val="0"/>
                <w:sz w:val="21"/>
                <w:szCs w:val="21"/>
              </w:rPr>
              <w:t>Juncaceae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展苞灯心草</w:t>
            </w:r>
            <w:r>
              <w:rPr>
                <w:rFonts w:eastAsia="等线" w:cs="Times New Roman"/>
                <w:color w:val="000000"/>
                <w:kern w:val="0"/>
                <w:sz w:val="21"/>
                <w:szCs w:val="21"/>
              </w:rPr>
              <w:t xml:space="preserve"> </w:t>
            </w:r>
            <w:r>
              <w:rPr>
                <w:rFonts w:eastAsia="等线" w:cs="Times New Roman"/>
                <w:i/>
                <w:iCs/>
                <w:color w:val="000000"/>
                <w:kern w:val="0"/>
                <w:sz w:val="21"/>
                <w:szCs w:val="21"/>
              </w:rPr>
              <w:t>Juncus thomsonii</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103</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禾本科</w:t>
            </w:r>
            <w:r>
              <w:rPr>
                <w:rFonts w:eastAsia="等线" w:cs="Times New Roman"/>
                <w:b/>
                <w:bCs/>
                <w:color w:val="000000"/>
                <w:kern w:val="0"/>
                <w:sz w:val="21"/>
                <w:szCs w:val="21"/>
              </w:rPr>
              <w:t>Gramineae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羊茅</w:t>
            </w:r>
            <w:r>
              <w:rPr>
                <w:rFonts w:eastAsia="等线" w:cs="Times New Roman"/>
                <w:color w:val="000000"/>
                <w:kern w:val="0"/>
                <w:sz w:val="21"/>
                <w:szCs w:val="21"/>
              </w:rPr>
              <w:t xml:space="preserve"> </w:t>
            </w:r>
            <w:r>
              <w:rPr>
                <w:rFonts w:eastAsia="等线" w:cs="Times New Roman"/>
                <w:i/>
                <w:iCs/>
                <w:color w:val="000000"/>
                <w:kern w:val="0"/>
                <w:sz w:val="21"/>
                <w:szCs w:val="21"/>
              </w:rPr>
              <w:t>Festuca ovina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104</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花丽早熟禾</w:t>
            </w:r>
            <w:r>
              <w:rPr>
                <w:rFonts w:eastAsia="等线" w:cs="Times New Roman"/>
                <w:color w:val="000000"/>
                <w:kern w:val="0"/>
                <w:sz w:val="21"/>
                <w:szCs w:val="21"/>
              </w:rPr>
              <w:t xml:space="preserve"> </w:t>
            </w:r>
            <w:r>
              <w:rPr>
                <w:rFonts w:eastAsia="等线" w:cs="Times New Roman"/>
                <w:i/>
                <w:iCs/>
                <w:color w:val="000000"/>
                <w:kern w:val="0"/>
                <w:sz w:val="21"/>
                <w:szCs w:val="21"/>
              </w:rPr>
              <w:t xml:space="preserve">Poa alpigena  </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105</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细叶早熟禾</w:t>
            </w:r>
            <w:r>
              <w:rPr>
                <w:rFonts w:eastAsia="等线" w:cs="Times New Roman"/>
                <w:color w:val="000000"/>
                <w:kern w:val="0"/>
                <w:sz w:val="21"/>
                <w:szCs w:val="21"/>
              </w:rPr>
              <w:t xml:space="preserve"> </w:t>
            </w:r>
            <w:r>
              <w:rPr>
                <w:rFonts w:eastAsia="等线" w:cs="Times New Roman"/>
                <w:i/>
                <w:iCs/>
                <w:color w:val="000000"/>
                <w:kern w:val="0"/>
                <w:sz w:val="21"/>
                <w:szCs w:val="21"/>
              </w:rPr>
              <w:t xml:space="preserve">Poa angustifolia  </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106</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垂穗鹅观草</w:t>
            </w:r>
            <w:r>
              <w:rPr>
                <w:rFonts w:eastAsia="等线" w:cs="Times New Roman"/>
                <w:color w:val="000000"/>
                <w:kern w:val="0"/>
                <w:sz w:val="21"/>
                <w:szCs w:val="21"/>
              </w:rPr>
              <w:t xml:space="preserve"> </w:t>
            </w:r>
            <w:r>
              <w:rPr>
                <w:rFonts w:eastAsia="等线" w:cs="Times New Roman"/>
                <w:i/>
                <w:iCs/>
                <w:color w:val="000000"/>
                <w:kern w:val="0"/>
                <w:sz w:val="21"/>
                <w:szCs w:val="21"/>
              </w:rPr>
              <w:t>Roegneria nutans</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107</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发草</w:t>
            </w:r>
            <w:r>
              <w:rPr>
                <w:rFonts w:eastAsia="等线" w:cs="Times New Roman"/>
                <w:color w:val="000000"/>
                <w:kern w:val="0"/>
                <w:sz w:val="21"/>
                <w:szCs w:val="21"/>
              </w:rPr>
              <w:t xml:space="preserve"> </w:t>
            </w:r>
            <w:r>
              <w:rPr>
                <w:rFonts w:eastAsia="等线" w:cs="Times New Roman"/>
                <w:i/>
                <w:iCs/>
                <w:color w:val="000000"/>
                <w:kern w:val="0"/>
                <w:sz w:val="21"/>
                <w:szCs w:val="21"/>
              </w:rPr>
              <w:t>Deschampsia caespitosa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108</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丝颖针茅</w:t>
            </w:r>
            <w:r>
              <w:rPr>
                <w:rFonts w:eastAsia="等线" w:cs="Times New Roman"/>
                <w:color w:val="000000"/>
                <w:kern w:val="0"/>
                <w:sz w:val="21"/>
                <w:szCs w:val="21"/>
              </w:rPr>
              <w:t xml:space="preserve"> </w:t>
            </w:r>
            <w:r>
              <w:rPr>
                <w:rFonts w:eastAsia="等线" w:cs="Times New Roman"/>
                <w:i/>
                <w:iCs/>
                <w:color w:val="000000"/>
                <w:kern w:val="0"/>
                <w:sz w:val="21"/>
                <w:szCs w:val="21"/>
              </w:rPr>
              <w:t>Stipa capillacea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109</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莎草科</w:t>
            </w:r>
            <w:r>
              <w:rPr>
                <w:rFonts w:eastAsia="等线" w:cs="Times New Roman"/>
                <w:b/>
                <w:bCs/>
                <w:color w:val="000000"/>
                <w:kern w:val="0"/>
                <w:sz w:val="21"/>
                <w:szCs w:val="21"/>
              </w:rPr>
              <w:t>Cyperaceae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高原嵩草</w:t>
            </w:r>
            <w:r>
              <w:rPr>
                <w:rFonts w:eastAsia="等线" w:cs="Times New Roman"/>
                <w:color w:val="000000"/>
                <w:kern w:val="0"/>
                <w:sz w:val="21"/>
                <w:szCs w:val="21"/>
              </w:rPr>
              <w:t xml:space="preserve"> </w:t>
            </w:r>
            <w:r>
              <w:rPr>
                <w:rFonts w:eastAsia="等线" w:cs="Times New Roman"/>
                <w:i/>
                <w:iCs/>
                <w:color w:val="000000"/>
                <w:kern w:val="0"/>
                <w:sz w:val="21"/>
                <w:szCs w:val="21"/>
              </w:rPr>
              <w:t>Kobresia humilis</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110</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喜马拉雅嵩草</w:t>
            </w:r>
            <w:r>
              <w:rPr>
                <w:rFonts w:eastAsia="等线" w:cs="Times New Roman"/>
                <w:color w:val="000000"/>
                <w:kern w:val="0"/>
                <w:sz w:val="21"/>
                <w:szCs w:val="21"/>
              </w:rPr>
              <w:t xml:space="preserve"> </w:t>
            </w:r>
            <w:r>
              <w:rPr>
                <w:rFonts w:eastAsia="等线" w:cs="Times New Roman"/>
                <w:i/>
                <w:iCs/>
                <w:color w:val="000000"/>
                <w:kern w:val="0"/>
                <w:sz w:val="21"/>
                <w:szCs w:val="21"/>
              </w:rPr>
              <w:t xml:space="preserve">Kobresia royleana </w:t>
            </w:r>
            <w:r>
              <w:rPr>
                <w:rFonts w:eastAsia="等线" w:cs="Times New Roman"/>
                <w:color w:val="000000"/>
                <w:kern w:val="0"/>
                <w:sz w:val="21"/>
                <w:szCs w:val="21"/>
              </w:rPr>
              <w:t xml:space="preserve"> </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111</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四川嵩草</w:t>
            </w:r>
            <w:r>
              <w:rPr>
                <w:rFonts w:eastAsia="等线" w:cs="Times New Roman"/>
                <w:i/>
                <w:iCs/>
                <w:color w:val="000000"/>
                <w:kern w:val="0"/>
                <w:sz w:val="21"/>
                <w:szCs w:val="21"/>
              </w:rPr>
              <w:t xml:space="preserve"> Kobresia setchwanensis</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112</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无刚毛荸荠</w:t>
            </w:r>
            <w:r>
              <w:rPr>
                <w:rFonts w:eastAsia="等线" w:cs="Times New Roman"/>
                <w:color w:val="000000"/>
                <w:kern w:val="0"/>
                <w:sz w:val="21"/>
                <w:szCs w:val="21"/>
              </w:rPr>
              <w:t xml:space="preserve"> </w:t>
            </w:r>
            <w:r>
              <w:rPr>
                <w:rFonts w:eastAsia="等线" w:cs="Times New Roman"/>
                <w:i/>
                <w:iCs/>
                <w:color w:val="000000"/>
                <w:kern w:val="0"/>
                <w:sz w:val="21"/>
                <w:szCs w:val="21"/>
              </w:rPr>
              <w:t>Eleocharis kamtschatica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总规资料</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113</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青藏苔草</w:t>
            </w:r>
            <w:r>
              <w:rPr>
                <w:rFonts w:eastAsia="等线" w:cs="Times New Roman"/>
                <w:color w:val="000000"/>
                <w:kern w:val="0"/>
                <w:sz w:val="21"/>
                <w:szCs w:val="21"/>
              </w:rPr>
              <w:t xml:space="preserve"> </w:t>
            </w:r>
            <w:r>
              <w:rPr>
                <w:rFonts w:eastAsia="等线" w:cs="Times New Roman"/>
                <w:i/>
                <w:iCs/>
                <w:color w:val="000000"/>
                <w:kern w:val="0"/>
                <w:sz w:val="21"/>
                <w:szCs w:val="21"/>
              </w:rPr>
              <w:t>Carex atrofusca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114</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帕米尔苔草</w:t>
            </w:r>
            <w:r>
              <w:rPr>
                <w:rFonts w:eastAsia="等线" w:cs="Times New Roman"/>
                <w:i/>
                <w:iCs/>
                <w:color w:val="000000"/>
                <w:kern w:val="0"/>
                <w:sz w:val="21"/>
                <w:szCs w:val="21"/>
              </w:rPr>
              <w:t xml:space="preserve"> Carex pamirensis</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115</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木里苔草</w:t>
            </w:r>
            <w:r>
              <w:rPr>
                <w:rFonts w:eastAsia="等线" w:cs="Times New Roman"/>
                <w:color w:val="000000"/>
                <w:kern w:val="0"/>
                <w:sz w:val="21"/>
                <w:szCs w:val="21"/>
              </w:rPr>
              <w:t xml:space="preserve"> </w:t>
            </w:r>
            <w:r>
              <w:rPr>
                <w:rFonts w:eastAsia="等线" w:cs="Times New Roman"/>
                <w:i/>
                <w:iCs/>
                <w:color w:val="000000"/>
                <w:kern w:val="0"/>
                <w:sz w:val="21"/>
                <w:szCs w:val="21"/>
              </w:rPr>
              <w:t>Carex muliensis</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116</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百合科</w:t>
            </w:r>
            <w:r>
              <w:rPr>
                <w:rFonts w:eastAsia="等线" w:cs="Times New Roman"/>
                <w:b/>
                <w:bCs/>
                <w:color w:val="000000"/>
                <w:kern w:val="0"/>
                <w:sz w:val="21"/>
                <w:szCs w:val="21"/>
              </w:rPr>
              <w:t>Liliaceae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甘肃贝母</w:t>
            </w:r>
            <w:r>
              <w:rPr>
                <w:rFonts w:eastAsia="等线" w:cs="Times New Roman"/>
                <w:color w:val="000000"/>
                <w:kern w:val="0"/>
                <w:sz w:val="21"/>
                <w:szCs w:val="21"/>
              </w:rPr>
              <w:t xml:space="preserve"> </w:t>
            </w:r>
            <w:r>
              <w:rPr>
                <w:rFonts w:eastAsia="等线" w:cs="Times New Roman"/>
                <w:i/>
                <w:iCs/>
                <w:color w:val="000000"/>
                <w:kern w:val="0"/>
                <w:sz w:val="21"/>
                <w:szCs w:val="21"/>
              </w:rPr>
              <w:t>Fritillaria przewalskii</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117</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　</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高山韭</w:t>
            </w:r>
            <w:r>
              <w:rPr>
                <w:rFonts w:eastAsia="等线" w:cs="Times New Roman"/>
                <w:color w:val="000000"/>
                <w:kern w:val="0"/>
                <w:sz w:val="21"/>
                <w:szCs w:val="21"/>
              </w:rPr>
              <w:t xml:space="preserve"> </w:t>
            </w:r>
            <w:r>
              <w:rPr>
                <w:rFonts w:eastAsia="等线" w:cs="Times New Roman"/>
                <w:i/>
                <w:iCs/>
                <w:color w:val="000000"/>
                <w:kern w:val="0"/>
                <w:sz w:val="21"/>
                <w:szCs w:val="21"/>
              </w:rPr>
              <w:t>Allium sikkimense</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实地调查</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118</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鸢尾科</w:t>
            </w:r>
            <w:r>
              <w:rPr>
                <w:rFonts w:eastAsia="等线" w:cs="Times New Roman"/>
                <w:b/>
                <w:bCs/>
                <w:color w:val="000000"/>
                <w:kern w:val="0"/>
                <w:sz w:val="21"/>
                <w:szCs w:val="21"/>
              </w:rPr>
              <w:t>Iridaceae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锐果鸢尾</w:t>
            </w:r>
            <w:r>
              <w:rPr>
                <w:rFonts w:eastAsia="等线" w:cs="Times New Roman"/>
                <w:color w:val="000000"/>
                <w:kern w:val="0"/>
                <w:sz w:val="21"/>
                <w:szCs w:val="21"/>
              </w:rPr>
              <w:t xml:space="preserve"> </w:t>
            </w:r>
            <w:r>
              <w:rPr>
                <w:rFonts w:eastAsia="等线" w:cs="Times New Roman"/>
                <w:i/>
                <w:iCs/>
                <w:color w:val="000000"/>
                <w:kern w:val="0"/>
                <w:sz w:val="21"/>
                <w:szCs w:val="21"/>
              </w:rPr>
              <w:t>Iris goniocarpa</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总规资料</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119</w:t>
            </w:r>
          </w:p>
        </w:tc>
        <w:tc>
          <w:tcPr>
            <w:tcW w:w="2552"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b/>
                <w:bCs/>
                <w:color w:val="000000"/>
                <w:kern w:val="0"/>
                <w:sz w:val="21"/>
                <w:szCs w:val="21"/>
              </w:rPr>
            </w:pPr>
            <w:r>
              <w:rPr>
                <w:rFonts w:cs="Times New Roman"/>
                <w:b/>
                <w:bCs/>
                <w:color w:val="000000"/>
                <w:kern w:val="0"/>
                <w:sz w:val="21"/>
                <w:szCs w:val="21"/>
              </w:rPr>
              <w:t>兰科</w:t>
            </w:r>
            <w:r>
              <w:rPr>
                <w:rFonts w:eastAsia="等线" w:cs="Times New Roman"/>
                <w:b/>
                <w:bCs/>
                <w:color w:val="000000"/>
                <w:kern w:val="0"/>
                <w:sz w:val="21"/>
                <w:szCs w:val="21"/>
              </w:rPr>
              <w:t>Orchidaceae</w:t>
            </w:r>
          </w:p>
        </w:tc>
        <w:tc>
          <w:tcPr>
            <w:tcW w:w="4394"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eastAsia="等线" w:cs="Times New Roman"/>
                <w:color w:val="000000"/>
                <w:kern w:val="0"/>
                <w:sz w:val="21"/>
                <w:szCs w:val="21"/>
              </w:rPr>
            </w:pPr>
            <w:r>
              <w:rPr>
                <w:rFonts w:cs="Times New Roman"/>
                <w:color w:val="000000"/>
                <w:kern w:val="0"/>
                <w:sz w:val="21"/>
                <w:szCs w:val="21"/>
              </w:rPr>
              <w:t>沼兰</w:t>
            </w:r>
            <w:r>
              <w:rPr>
                <w:rFonts w:eastAsia="等线" w:cs="Times New Roman"/>
                <w:i/>
                <w:iCs/>
                <w:color w:val="000000"/>
                <w:kern w:val="0"/>
                <w:sz w:val="21"/>
                <w:szCs w:val="21"/>
              </w:rPr>
              <w:t xml:space="preserve"> Malaxis monophyllos</w:t>
            </w:r>
          </w:p>
        </w:tc>
        <w:tc>
          <w:tcPr>
            <w:tcW w:w="835" w:type="dxa"/>
            <w:tcBorders>
              <w:top w:val="nil"/>
              <w:left w:val="nil"/>
              <w:bottom w:val="single" w:color="auto" w:sz="4" w:space="0"/>
              <w:right w:val="single" w:color="auto" w:sz="4" w:space="0"/>
            </w:tcBorders>
            <w:shd w:val="clear" w:color="000000" w:fill="FFFFFF"/>
            <w:noWrap/>
            <w:vAlign w:val="center"/>
          </w:tcPr>
          <w:p>
            <w:pPr>
              <w:widowControl/>
              <w:adjustRightInd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总规资料</w:t>
            </w:r>
          </w:p>
        </w:tc>
      </w:tr>
    </w:tbl>
    <w:p>
      <w:pPr>
        <w:ind w:firstLine="0" w:firstLineChars="0"/>
      </w:pPr>
    </w:p>
    <w:p>
      <w:pPr>
        <w:ind w:firstLine="0" w:firstLineChars="0"/>
        <w:rPr>
          <w:rFonts w:cs="Times New Roman"/>
        </w:rPr>
        <w:sectPr>
          <w:headerReference r:id="rId21"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pPr>
        <w:keepNext w:val="0"/>
        <w:keepLines w:val="0"/>
        <w:pageBreakBefore w:val="0"/>
        <w:widowControl w:val="0"/>
        <w:numPr>
          <w:ilvl w:val="0"/>
          <w:numId w:val="0"/>
        </w:numPr>
        <w:kinsoku/>
        <w:wordWrap/>
        <w:overflowPunct/>
        <w:topLinePunct w:val="0"/>
        <w:autoSpaceDE/>
        <w:autoSpaceDN/>
        <w:bidi w:val="0"/>
        <w:adjustRightInd/>
        <w:snapToGrid/>
        <w:ind w:leftChars="0"/>
        <w:textAlignment w:val="auto"/>
        <w:outlineLvl w:val="9"/>
        <w:rPr>
          <w:rFonts w:hint="eastAsia" w:ascii="黑体" w:hAnsi="黑体" w:eastAsia="黑体" w:cs="黑体"/>
          <w:b/>
          <w:bCs/>
          <w:sz w:val="32"/>
          <w:szCs w:val="32"/>
        </w:rPr>
      </w:pPr>
      <w:r>
        <w:rPr>
          <w:rFonts w:hint="eastAsia" w:ascii="黑体" w:hAnsi="黑体" w:eastAsia="黑体" w:cs="黑体"/>
          <w:b/>
          <w:bCs/>
          <w:sz w:val="32"/>
          <w:szCs w:val="32"/>
          <w:lang w:val="en-US" w:eastAsia="zh-CN"/>
        </w:rPr>
        <w:t xml:space="preserve">附录2 </w:t>
      </w:r>
      <w:r>
        <w:rPr>
          <w:rFonts w:hint="eastAsia" w:ascii="黑体" w:hAnsi="黑体" w:eastAsia="黑体" w:cs="黑体"/>
          <w:b/>
          <w:bCs/>
          <w:sz w:val="32"/>
          <w:szCs w:val="32"/>
        </w:rPr>
        <w:t>评价区野生动物名录</w:t>
      </w:r>
    </w:p>
    <w:p>
      <w:pPr>
        <w:ind w:firstLine="482"/>
        <w:jc w:val="center"/>
        <w:rPr>
          <w:b/>
        </w:rPr>
      </w:pPr>
      <w:r>
        <w:rPr>
          <w:rFonts w:hint="eastAsia"/>
          <w:b/>
        </w:rPr>
        <w:t>a评价区鱼类名录</w:t>
      </w:r>
    </w:p>
    <w:tbl>
      <w:tblPr>
        <w:tblStyle w:val="42"/>
        <w:tblW w:w="4861" w:type="pct"/>
        <w:jc w:val="center"/>
        <w:tblLayout w:type="autofit"/>
        <w:tblCellMar>
          <w:top w:w="0" w:type="dxa"/>
          <w:left w:w="108" w:type="dxa"/>
          <w:bottom w:w="0" w:type="dxa"/>
          <w:right w:w="108" w:type="dxa"/>
        </w:tblCellMar>
      </w:tblPr>
      <w:tblGrid>
        <w:gridCol w:w="876"/>
        <w:gridCol w:w="1549"/>
        <w:gridCol w:w="2686"/>
        <w:gridCol w:w="1138"/>
        <w:gridCol w:w="849"/>
        <w:gridCol w:w="1193"/>
      </w:tblGrid>
      <w:tr>
        <w:tblPrEx>
          <w:tblCellMar>
            <w:top w:w="0" w:type="dxa"/>
            <w:left w:w="108" w:type="dxa"/>
            <w:bottom w:w="0" w:type="dxa"/>
            <w:right w:w="108" w:type="dxa"/>
          </w:tblCellMar>
        </w:tblPrEx>
        <w:trPr>
          <w:trHeight w:val="454" w:hRule="exact"/>
          <w:jc w:val="center"/>
        </w:trPr>
        <w:tc>
          <w:tcPr>
            <w:tcW w:w="528" w:type="pct"/>
            <w:tcBorders>
              <w:top w:val="single" w:color="auto" w:sz="4" w:space="0"/>
              <w:left w:val="single" w:color="auto" w:sz="4" w:space="0"/>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序号</w:t>
            </w:r>
          </w:p>
        </w:tc>
        <w:tc>
          <w:tcPr>
            <w:tcW w:w="934"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物种</w:t>
            </w:r>
          </w:p>
        </w:tc>
        <w:tc>
          <w:tcPr>
            <w:tcW w:w="1619"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拉丁名</w:t>
            </w:r>
          </w:p>
        </w:tc>
        <w:tc>
          <w:tcPr>
            <w:tcW w:w="686"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种群数量</w:t>
            </w:r>
          </w:p>
        </w:tc>
        <w:tc>
          <w:tcPr>
            <w:tcW w:w="512"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特有种</w:t>
            </w:r>
          </w:p>
        </w:tc>
        <w:tc>
          <w:tcPr>
            <w:tcW w:w="719"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数据来源</w:t>
            </w:r>
          </w:p>
        </w:tc>
      </w:tr>
      <w:tr>
        <w:tblPrEx>
          <w:tblCellMar>
            <w:top w:w="0" w:type="dxa"/>
            <w:left w:w="108" w:type="dxa"/>
            <w:bottom w:w="0" w:type="dxa"/>
            <w:right w:w="108" w:type="dxa"/>
          </w:tblCellMar>
        </w:tblPrEx>
        <w:trPr>
          <w:trHeight w:val="454" w:hRule="exact"/>
          <w:jc w:val="center"/>
        </w:trPr>
        <w:tc>
          <w:tcPr>
            <w:tcW w:w="528" w:type="pct"/>
            <w:tcBorders>
              <w:top w:val="nil"/>
              <w:left w:val="single" w:color="auto" w:sz="4" w:space="0"/>
              <w:bottom w:val="single" w:color="auto" w:sz="4" w:space="0"/>
              <w:right w:val="single" w:color="auto" w:sz="4" w:space="0"/>
            </w:tcBorders>
            <w:shd w:val="clear" w:color="auto" w:fill="E7E6E6" w:themeFill="background2"/>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一</w:t>
            </w:r>
          </w:p>
        </w:tc>
        <w:tc>
          <w:tcPr>
            <w:tcW w:w="934" w:type="pct"/>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鲤形目</w:t>
            </w:r>
          </w:p>
        </w:tc>
        <w:tc>
          <w:tcPr>
            <w:tcW w:w="3536" w:type="pct"/>
            <w:gridSpan w:val="4"/>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jc w:val="left"/>
              <w:rPr>
                <w:rFonts w:cs="Times New Roman"/>
                <w:color w:val="000000"/>
                <w:kern w:val="0"/>
                <w:sz w:val="21"/>
                <w:szCs w:val="21"/>
              </w:rPr>
            </w:pPr>
            <w:r>
              <w:rPr>
                <w:rFonts w:cs="Times New Roman"/>
                <w:b/>
                <w:bCs/>
                <w:color w:val="000000"/>
                <w:kern w:val="0"/>
                <w:sz w:val="21"/>
                <w:szCs w:val="21"/>
              </w:rPr>
              <w:t>CYPRINIFORMES</w:t>
            </w:r>
          </w:p>
        </w:tc>
      </w:tr>
      <w:tr>
        <w:tblPrEx>
          <w:tblCellMar>
            <w:top w:w="0" w:type="dxa"/>
            <w:left w:w="108" w:type="dxa"/>
            <w:bottom w:w="0" w:type="dxa"/>
            <w:right w:w="108" w:type="dxa"/>
          </w:tblCellMar>
        </w:tblPrEx>
        <w:trPr>
          <w:trHeight w:val="454" w:hRule="exact"/>
          <w:jc w:val="center"/>
        </w:trPr>
        <w:tc>
          <w:tcPr>
            <w:tcW w:w="528"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鳅科</w:t>
            </w:r>
          </w:p>
        </w:tc>
        <w:tc>
          <w:tcPr>
            <w:tcW w:w="161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Cobitidae</w:t>
            </w:r>
          </w:p>
        </w:tc>
        <w:tc>
          <w:tcPr>
            <w:tcW w:w="68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rPr>
            </w:pPr>
            <w:r>
              <w:rPr>
                <w:rFonts w:cs="Times New Roman"/>
                <w:color w:val="000000"/>
                <w:kern w:val="0"/>
                <w:sz w:val="21"/>
                <w:szCs w:val="21"/>
              </w:rPr>
              <w:t>　</w:t>
            </w:r>
          </w:p>
        </w:tc>
        <w:tc>
          <w:tcPr>
            <w:tcW w:w="5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rPr>
            </w:pPr>
            <w:r>
              <w:rPr>
                <w:rFonts w:cs="Times New Roman"/>
                <w:color w:val="000000"/>
                <w:kern w:val="0"/>
                <w:sz w:val="21"/>
                <w:szCs w:val="21"/>
              </w:rPr>
              <w:t>　</w:t>
            </w:r>
          </w:p>
        </w:tc>
        <w:tc>
          <w:tcPr>
            <w:tcW w:w="71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rPr>
            </w:pPr>
            <w:r>
              <w:rPr>
                <w:rFonts w:cs="Times New Roman"/>
                <w:color w:val="000000"/>
                <w:kern w:val="0"/>
                <w:sz w:val="21"/>
                <w:szCs w:val="21"/>
              </w:rPr>
              <w:t>　</w:t>
            </w:r>
          </w:p>
        </w:tc>
      </w:tr>
      <w:tr>
        <w:tblPrEx>
          <w:tblCellMar>
            <w:top w:w="0" w:type="dxa"/>
            <w:left w:w="108" w:type="dxa"/>
            <w:bottom w:w="0" w:type="dxa"/>
            <w:right w:w="108" w:type="dxa"/>
          </w:tblCellMar>
        </w:tblPrEx>
        <w:trPr>
          <w:trHeight w:val="454" w:hRule="exact"/>
          <w:jc w:val="center"/>
        </w:trPr>
        <w:tc>
          <w:tcPr>
            <w:tcW w:w="528"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rPr>
            </w:pPr>
            <w:r>
              <w:rPr>
                <w:rFonts w:cs="Times New Roman"/>
                <w:color w:val="000000"/>
                <w:kern w:val="0"/>
                <w:sz w:val="21"/>
                <w:szCs w:val="21"/>
              </w:rPr>
              <w:t>东方高原鳅</w:t>
            </w:r>
          </w:p>
        </w:tc>
        <w:tc>
          <w:tcPr>
            <w:tcW w:w="161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000000"/>
                <w:kern w:val="0"/>
                <w:sz w:val="21"/>
                <w:szCs w:val="21"/>
              </w:rPr>
            </w:pPr>
            <w:r>
              <w:rPr>
                <w:rFonts w:cs="Times New Roman"/>
                <w:i/>
                <w:iCs/>
                <w:color w:val="000000"/>
                <w:kern w:val="0"/>
                <w:sz w:val="21"/>
                <w:szCs w:val="21"/>
              </w:rPr>
              <w:t>Triplophysa orientalis</w:t>
            </w:r>
          </w:p>
        </w:tc>
        <w:tc>
          <w:tcPr>
            <w:tcW w:w="68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w:t>
            </w:r>
          </w:p>
        </w:tc>
        <w:tc>
          <w:tcPr>
            <w:tcW w:w="5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U</w:t>
            </w:r>
          </w:p>
        </w:tc>
        <w:tc>
          <w:tcPr>
            <w:tcW w:w="71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kern w:val="0"/>
                <w:sz w:val="21"/>
                <w:szCs w:val="21"/>
              </w:rPr>
              <w:t>调查</w:t>
            </w:r>
          </w:p>
        </w:tc>
      </w:tr>
      <w:tr>
        <w:tblPrEx>
          <w:tblCellMar>
            <w:top w:w="0" w:type="dxa"/>
            <w:left w:w="108" w:type="dxa"/>
            <w:bottom w:w="0" w:type="dxa"/>
            <w:right w:w="108" w:type="dxa"/>
          </w:tblCellMar>
        </w:tblPrEx>
        <w:trPr>
          <w:trHeight w:val="454" w:hRule="exact"/>
          <w:jc w:val="center"/>
        </w:trPr>
        <w:tc>
          <w:tcPr>
            <w:tcW w:w="528"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(二)</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 xml:space="preserve">鲤科 </w:t>
            </w:r>
          </w:p>
        </w:tc>
        <w:tc>
          <w:tcPr>
            <w:tcW w:w="161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i/>
                <w:iCs/>
                <w:color w:val="000000"/>
                <w:kern w:val="0"/>
                <w:sz w:val="21"/>
                <w:szCs w:val="21"/>
              </w:rPr>
            </w:pPr>
            <w:r>
              <w:rPr>
                <w:rFonts w:cs="Times New Roman"/>
                <w:b/>
                <w:bCs/>
                <w:i/>
                <w:iCs/>
                <w:color w:val="000000"/>
                <w:kern w:val="0"/>
                <w:sz w:val="21"/>
                <w:szCs w:val="21"/>
              </w:rPr>
              <w:t>Cyprinidae</w:t>
            </w:r>
          </w:p>
        </w:tc>
        <w:tc>
          <w:tcPr>
            <w:tcW w:w="68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71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r>
      <w:tr>
        <w:tblPrEx>
          <w:tblCellMar>
            <w:top w:w="0" w:type="dxa"/>
            <w:left w:w="108" w:type="dxa"/>
            <w:bottom w:w="0" w:type="dxa"/>
            <w:right w:w="108" w:type="dxa"/>
          </w:tblCellMar>
        </w:tblPrEx>
        <w:trPr>
          <w:trHeight w:val="454" w:hRule="exact"/>
          <w:jc w:val="center"/>
        </w:trPr>
        <w:tc>
          <w:tcPr>
            <w:tcW w:w="528" w:type="pc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rPr>
            </w:pPr>
            <w:r>
              <w:rPr>
                <w:rFonts w:cs="Times New Roman"/>
                <w:color w:val="000000"/>
                <w:kern w:val="0"/>
                <w:sz w:val="21"/>
                <w:szCs w:val="21"/>
              </w:rPr>
              <w:t>大渡裸裂尻</w:t>
            </w:r>
            <w:r>
              <w:rPr>
                <w:rFonts w:hint="eastAsia" w:cs="Times New Roman"/>
                <w:color w:val="000000"/>
                <w:kern w:val="0"/>
                <w:sz w:val="21"/>
                <w:szCs w:val="21"/>
                <w:lang w:eastAsia="zh-CN"/>
              </w:rPr>
              <w:t>鱼</w:t>
            </w:r>
            <w:r>
              <w:rPr>
                <w:rFonts w:cs="Times New Roman"/>
                <w:color w:val="000000"/>
                <w:kern w:val="0"/>
                <w:sz w:val="21"/>
                <w:szCs w:val="21"/>
              </w:rPr>
              <w:t xml:space="preserve"> </w:t>
            </w:r>
          </w:p>
        </w:tc>
        <w:tc>
          <w:tcPr>
            <w:tcW w:w="161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000000"/>
                <w:kern w:val="0"/>
                <w:sz w:val="21"/>
                <w:szCs w:val="21"/>
              </w:rPr>
            </w:pPr>
            <w:r>
              <w:rPr>
                <w:rFonts w:cs="Times New Roman"/>
                <w:i/>
                <w:iCs/>
                <w:color w:val="000000"/>
                <w:kern w:val="0"/>
                <w:sz w:val="21"/>
                <w:szCs w:val="21"/>
              </w:rPr>
              <w:t>Schizopygopsis malacanthus</w:t>
            </w:r>
          </w:p>
        </w:tc>
        <w:tc>
          <w:tcPr>
            <w:tcW w:w="68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w:t>
            </w:r>
          </w:p>
        </w:tc>
        <w:tc>
          <w:tcPr>
            <w:tcW w:w="5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U</w:t>
            </w:r>
          </w:p>
        </w:tc>
        <w:tc>
          <w:tcPr>
            <w:tcW w:w="71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调查</w:t>
            </w:r>
          </w:p>
        </w:tc>
      </w:tr>
    </w:tbl>
    <w:p>
      <w:pPr>
        <w:ind w:firstLine="0" w:firstLineChars="0"/>
        <w:rPr>
          <w:rFonts w:hint="eastAsia"/>
          <w:sz w:val="18"/>
          <w:szCs w:val="18"/>
        </w:rPr>
      </w:pPr>
      <w:r>
        <w:rPr>
          <w:rFonts w:hint="eastAsia"/>
          <w:b/>
          <w:sz w:val="18"/>
          <w:szCs w:val="18"/>
        </w:rPr>
        <w:t>注：数量：</w:t>
      </w:r>
      <w:r>
        <w:rPr>
          <w:rFonts w:hint="eastAsia"/>
          <w:sz w:val="18"/>
          <w:szCs w:val="18"/>
        </w:rPr>
        <w:t>+++：优势种；++：常见种；+：稀有种。</w:t>
      </w:r>
    </w:p>
    <w:p>
      <w:pPr>
        <w:ind w:firstLine="0" w:firstLineChars="0"/>
        <w:jc w:val="center"/>
        <w:rPr>
          <w:b/>
        </w:rPr>
      </w:pPr>
      <w:r>
        <w:rPr>
          <w:rFonts w:hint="eastAsia"/>
          <w:b/>
        </w:rPr>
        <w:t>b评价区两栖类名录</w:t>
      </w:r>
    </w:p>
    <w:tbl>
      <w:tblPr>
        <w:tblStyle w:val="42"/>
        <w:tblW w:w="488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1"/>
        <w:gridCol w:w="1164"/>
        <w:gridCol w:w="1848"/>
        <w:gridCol w:w="720"/>
        <w:gridCol w:w="768"/>
        <w:gridCol w:w="1512"/>
        <w:gridCol w:w="804"/>
        <w:gridCol w:w="7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exact"/>
          <w:jc w:val="center"/>
        </w:trPr>
        <w:tc>
          <w:tcPr>
            <w:tcW w:w="469" w:type="pct"/>
            <w:shd w:val="clear" w:color="auto" w:fill="CFCECE" w:themeFill="background2" w:themeFillShade="E5"/>
            <w:vAlign w:val="center"/>
          </w:tcPr>
          <w:p>
            <w:pPr>
              <w:widowControl/>
              <w:spacing w:line="240" w:lineRule="auto"/>
              <w:ind w:firstLine="0" w:firstLineChars="0"/>
              <w:jc w:val="center"/>
              <w:rPr>
                <w:rFonts w:hint="eastAsia" w:eastAsia="宋体" w:cs="Times New Roman"/>
                <w:b/>
                <w:bCs/>
                <w:color w:val="000000"/>
                <w:kern w:val="0"/>
                <w:sz w:val="21"/>
                <w:szCs w:val="21"/>
                <w:lang w:eastAsia="zh-CN"/>
              </w:rPr>
            </w:pPr>
            <w:r>
              <w:rPr>
                <w:rFonts w:hint="eastAsia" w:cs="Times New Roman"/>
                <w:b/>
                <w:bCs/>
                <w:color w:val="000000"/>
                <w:kern w:val="0"/>
                <w:sz w:val="21"/>
                <w:szCs w:val="21"/>
                <w:lang w:eastAsia="zh-CN"/>
              </w:rPr>
              <w:t>序号</w:t>
            </w:r>
          </w:p>
        </w:tc>
        <w:tc>
          <w:tcPr>
            <w:tcW w:w="699" w:type="pct"/>
            <w:shd w:val="clear" w:color="auto" w:fill="CFCECE" w:themeFill="background2" w:themeFillShade="E5"/>
            <w:vAlign w:val="center"/>
          </w:tcPr>
          <w:p>
            <w:pPr>
              <w:widowControl/>
              <w:spacing w:line="240" w:lineRule="auto"/>
              <w:ind w:firstLine="0" w:firstLineChars="0"/>
              <w:jc w:val="center"/>
              <w:rPr>
                <w:rFonts w:hint="eastAsia" w:eastAsia="宋体" w:cs="Times New Roman"/>
                <w:b/>
                <w:bCs/>
                <w:color w:val="000000"/>
                <w:kern w:val="0"/>
                <w:sz w:val="21"/>
                <w:szCs w:val="21"/>
                <w:lang w:eastAsia="zh-CN"/>
              </w:rPr>
            </w:pPr>
            <w:r>
              <w:rPr>
                <w:rFonts w:hint="eastAsia" w:cs="Times New Roman"/>
                <w:b/>
                <w:bCs/>
                <w:color w:val="000000"/>
                <w:kern w:val="0"/>
                <w:sz w:val="21"/>
                <w:szCs w:val="21"/>
                <w:lang w:eastAsia="zh-CN"/>
              </w:rPr>
              <w:t>物种</w:t>
            </w:r>
          </w:p>
        </w:tc>
        <w:tc>
          <w:tcPr>
            <w:tcW w:w="1109" w:type="pct"/>
            <w:shd w:val="clear" w:color="auto" w:fill="CFCECE" w:themeFill="background2" w:themeFillShade="E5"/>
            <w:vAlign w:val="center"/>
          </w:tcPr>
          <w:p>
            <w:pPr>
              <w:widowControl/>
              <w:spacing w:line="240" w:lineRule="auto"/>
              <w:ind w:firstLine="0" w:firstLineChars="0"/>
              <w:jc w:val="center"/>
              <w:rPr>
                <w:rFonts w:hint="eastAsia" w:eastAsia="宋体" w:cs="Times New Roman"/>
                <w:b/>
                <w:bCs/>
                <w:color w:val="000000"/>
                <w:kern w:val="0"/>
                <w:sz w:val="21"/>
                <w:szCs w:val="21"/>
                <w:lang w:eastAsia="zh-CN"/>
              </w:rPr>
            </w:pPr>
            <w:r>
              <w:rPr>
                <w:rFonts w:hint="eastAsia" w:cs="Times New Roman"/>
                <w:b/>
                <w:bCs/>
                <w:color w:val="000000"/>
                <w:kern w:val="0"/>
                <w:sz w:val="21"/>
                <w:szCs w:val="21"/>
                <w:lang w:eastAsia="zh-CN"/>
              </w:rPr>
              <w:t>拉丁名</w:t>
            </w:r>
          </w:p>
        </w:tc>
        <w:tc>
          <w:tcPr>
            <w:tcW w:w="432" w:type="pct"/>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区系</w:t>
            </w:r>
          </w:p>
        </w:tc>
        <w:tc>
          <w:tcPr>
            <w:tcW w:w="461" w:type="pct"/>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分布型</w:t>
            </w:r>
          </w:p>
        </w:tc>
        <w:tc>
          <w:tcPr>
            <w:tcW w:w="907" w:type="pct"/>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生态类型</w:t>
            </w:r>
          </w:p>
        </w:tc>
        <w:tc>
          <w:tcPr>
            <w:tcW w:w="482" w:type="pct"/>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种群数量</w:t>
            </w:r>
          </w:p>
        </w:tc>
        <w:tc>
          <w:tcPr>
            <w:tcW w:w="437" w:type="pct"/>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数据</w:t>
            </w:r>
          </w:p>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69" w:type="pct"/>
            <w:shd w:val="clear" w:color="auto" w:fill="E7E6E6" w:themeFill="background2"/>
            <w:vAlign w:val="center"/>
          </w:tcPr>
          <w:p>
            <w:pPr>
              <w:widowControl/>
              <w:ind w:firstLine="0" w:firstLineChars="0"/>
              <w:jc w:val="left"/>
              <w:rPr>
                <w:rFonts w:hint="eastAsia" w:eastAsia="宋体"/>
                <w:b/>
                <w:bCs/>
                <w:kern w:val="0"/>
                <w:sz w:val="21"/>
                <w:szCs w:val="21"/>
                <w:lang w:eastAsia="zh-CN"/>
              </w:rPr>
            </w:pPr>
            <w:r>
              <w:rPr>
                <w:rFonts w:hint="eastAsia"/>
                <w:b/>
                <w:bCs/>
                <w:kern w:val="0"/>
                <w:sz w:val="21"/>
                <w:szCs w:val="21"/>
                <w:lang w:eastAsia="zh-CN"/>
              </w:rPr>
              <w:t>一</w:t>
            </w:r>
          </w:p>
        </w:tc>
        <w:tc>
          <w:tcPr>
            <w:tcW w:w="699" w:type="pct"/>
            <w:shd w:val="clear" w:color="auto" w:fill="E7E6E6" w:themeFill="background2"/>
            <w:vAlign w:val="center"/>
          </w:tcPr>
          <w:p>
            <w:pPr>
              <w:widowControl/>
              <w:ind w:firstLine="0" w:firstLineChars="0"/>
              <w:jc w:val="left"/>
              <w:rPr>
                <w:rFonts w:hint="eastAsia"/>
                <w:b/>
                <w:bCs/>
                <w:kern w:val="0"/>
                <w:sz w:val="21"/>
                <w:szCs w:val="21"/>
              </w:rPr>
            </w:pPr>
            <w:r>
              <w:rPr>
                <w:b/>
                <w:bCs/>
                <w:kern w:val="0"/>
                <w:sz w:val="21"/>
                <w:szCs w:val="21"/>
              </w:rPr>
              <w:t>无尾目</w:t>
            </w:r>
          </w:p>
        </w:tc>
        <w:tc>
          <w:tcPr>
            <w:tcW w:w="3831" w:type="pct"/>
            <w:gridSpan w:val="6"/>
            <w:shd w:val="clear" w:color="auto" w:fill="E7E6E6" w:themeFill="background2"/>
            <w:vAlign w:val="center"/>
          </w:tcPr>
          <w:p>
            <w:pPr>
              <w:widowControl/>
              <w:ind w:firstLine="0" w:firstLineChars="0"/>
              <w:jc w:val="left"/>
              <w:rPr>
                <w:kern w:val="0"/>
                <w:sz w:val="21"/>
                <w:szCs w:val="21"/>
              </w:rPr>
            </w:pPr>
            <w:r>
              <w:rPr>
                <w:b/>
                <w:bCs/>
                <w:kern w:val="0"/>
                <w:sz w:val="21"/>
                <w:szCs w:val="21"/>
              </w:rPr>
              <w:t>Anura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69" w:type="pct"/>
          </w:tcPr>
          <w:p>
            <w:pPr>
              <w:widowControl/>
              <w:ind w:firstLine="0" w:firstLineChars="0"/>
              <w:jc w:val="center"/>
              <w:rPr>
                <w:rFonts w:hint="eastAsia"/>
                <w:b/>
                <w:bCs/>
                <w:kern w:val="0"/>
                <w:sz w:val="21"/>
                <w:szCs w:val="21"/>
              </w:rPr>
            </w:pPr>
            <w:r>
              <w:rPr>
                <w:rFonts w:hint="eastAsia"/>
                <w:b/>
                <w:bCs/>
                <w:kern w:val="0"/>
                <w:sz w:val="21"/>
                <w:szCs w:val="21"/>
              </w:rPr>
              <w:t>（一）</w:t>
            </w:r>
          </w:p>
        </w:tc>
        <w:tc>
          <w:tcPr>
            <w:tcW w:w="699" w:type="pct"/>
          </w:tcPr>
          <w:p>
            <w:pPr>
              <w:widowControl/>
              <w:ind w:firstLine="0" w:firstLineChars="0"/>
              <w:jc w:val="left"/>
              <w:rPr>
                <w:rFonts w:hint="eastAsia"/>
                <w:b/>
                <w:bCs/>
                <w:kern w:val="0"/>
                <w:sz w:val="21"/>
                <w:szCs w:val="21"/>
              </w:rPr>
            </w:pPr>
            <w:r>
              <w:rPr>
                <w:b/>
                <w:bCs/>
                <w:kern w:val="0"/>
                <w:sz w:val="21"/>
                <w:szCs w:val="21"/>
              </w:rPr>
              <w:t>蛙科</w:t>
            </w:r>
          </w:p>
        </w:tc>
        <w:tc>
          <w:tcPr>
            <w:tcW w:w="1109" w:type="pct"/>
          </w:tcPr>
          <w:p>
            <w:pPr>
              <w:widowControl/>
              <w:ind w:firstLine="0" w:firstLineChars="0"/>
              <w:jc w:val="left"/>
              <w:rPr>
                <w:b/>
                <w:bCs/>
                <w:kern w:val="0"/>
                <w:sz w:val="21"/>
                <w:szCs w:val="21"/>
              </w:rPr>
            </w:pPr>
            <w:r>
              <w:rPr>
                <w:b/>
                <w:bCs/>
                <w:kern w:val="0"/>
                <w:sz w:val="21"/>
                <w:szCs w:val="21"/>
              </w:rPr>
              <w:t>Ranidae</w:t>
            </w:r>
          </w:p>
        </w:tc>
        <w:tc>
          <w:tcPr>
            <w:tcW w:w="432" w:type="pct"/>
          </w:tcPr>
          <w:p>
            <w:pPr>
              <w:widowControl/>
              <w:ind w:firstLine="0" w:firstLineChars="0"/>
              <w:jc w:val="center"/>
              <w:rPr>
                <w:b/>
                <w:bCs/>
                <w:kern w:val="0"/>
                <w:sz w:val="21"/>
                <w:szCs w:val="21"/>
              </w:rPr>
            </w:pPr>
          </w:p>
        </w:tc>
        <w:tc>
          <w:tcPr>
            <w:tcW w:w="461" w:type="pct"/>
          </w:tcPr>
          <w:p>
            <w:pPr>
              <w:widowControl/>
              <w:ind w:firstLine="0" w:firstLineChars="0"/>
              <w:jc w:val="center"/>
              <w:rPr>
                <w:b/>
                <w:bCs/>
                <w:kern w:val="0"/>
                <w:sz w:val="21"/>
                <w:szCs w:val="21"/>
              </w:rPr>
            </w:pPr>
          </w:p>
        </w:tc>
        <w:tc>
          <w:tcPr>
            <w:tcW w:w="907" w:type="pct"/>
          </w:tcPr>
          <w:p>
            <w:pPr>
              <w:widowControl/>
              <w:ind w:firstLine="0" w:firstLineChars="0"/>
              <w:jc w:val="center"/>
              <w:rPr>
                <w:b/>
                <w:bCs/>
                <w:kern w:val="0"/>
                <w:sz w:val="21"/>
                <w:szCs w:val="21"/>
              </w:rPr>
            </w:pPr>
          </w:p>
        </w:tc>
        <w:tc>
          <w:tcPr>
            <w:tcW w:w="482" w:type="pct"/>
          </w:tcPr>
          <w:p>
            <w:pPr>
              <w:widowControl/>
              <w:ind w:firstLine="0" w:firstLineChars="0"/>
              <w:jc w:val="center"/>
              <w:rPr>
                <w:b/>
                <w:bCs/>
                <w:kern w:val="0"/>
                <w:sz w:val="21"/>
                <w:szCs w:val="21"/>
              </w:rPr>
            </w:pPr>
          </w:p>
        </w:tc>
        <w:tc>
          <w:tcPr>
            <w:tcW w:w="437" w:type="pct"/>
          </w:tcPr>
          <w:p>
            <w:pPr>
              <w:widowControl/>
              <w:ind w:firstLine="0" w:firstLineChars="0"/>
              <w:jc w:val="center"/>
              <w:rPr>
                <w:b/>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69" w:type="pct"/>
            <w:vAlign w:val="center"/>
          </w:tcPr>
          <w:p>
            <w:pPr>
              <w:widowControl/>
              <w:ind w:firstLine="0" w:firstLineChars="0"/>
              <w:jc w:val="center"/>
              <w:rPr>
                <w:rFonts w:hint="eastAsia" w:eastAsia="宋体"/>
                <w:kern w:val="0"/>
                <w:sz w:val="21"/>
                <w:szCs w:val="21"/>
                <w:lang w:val="en-US" w:eastAsia="zh-CN"/>
              </w:rPr>
            </w:pPr>
            <w:r>
              <w:rPr>
                <w:rFonts w:hint="eastAsia"/>
                <w:kern w:val="0"/>
                <w:sz w:val="21"/>
                <w:szCs w:val="21"/>
                <w:lang w:val="en-US" w:eastAsia="zh-CN"/>
              </w:rPr>
              <w:t>1</w:t>
            </w:r>
          </w:p>
        </w:tc>
        <w:tc>
          <w:tcPr>
            <w:tcW w:w="699" w:type="pct"/>
            <w:vAlign w:val="center"/>
          </w:tcPr>
          <w:p>
            <w:pPr>
              <w:widowControl/>
              <w:ind w:firstLine="0" w:firstLineChars="0"/>
              <w:jc w:val="left"/>
              <w:rPr>
                <w:rFonts w:hint="eastAsia"/>
                <w:kern w:val="0"/>
                <w:sz w:val="21"/>
                <w:szCs w:val="21"/>
              </w:rPr>
            </w:pPr>
            <w:r>
              <w:rPr>
                <w:kern w:val="0"/>
                <w:sz w:val="21"/>
                <w:szCs w:val="21"/>
              </w:rPr>
              <w:t>高原林蛙</w:t>
            </w:r>
          </w:p>
        </w:tc>
        <w:tc>
          <w:tcPr>
            <w:tcW w:w="1109" w:type="pct"/>
            <w:vAlign w:val="center"/>
          </w:tcPr>
          <w:p>
            <w:pPr>
              <w:widowControl/>
              <w:ind w:firstLine="0" w:firstLineChars="0"/>
              <w:jc w:val="left"/>
              <w:rPr>
                <w:kern w:val="0"/>
                <w:sz w:val="21"/>
                <w:szCs w:val="21"/>
              </w:rPr>
            </w:pPr>
            <w:r>
              <w:rPr>
                <w:i/>
                <w:iCs/>
                <w:kern w:val="0"/>
                <w:sz w:val="21"/>
                <w:szCs w:val="21"/>
              </w:rPr>
              <w:t>Rana kukunoris</w:t>
            </w:r>
          </w:p>
        </w:tc>
        <w:tc>
          <w:tcPr>
            <w:tcW w:w="432" w:type="pct"/>
            <w:vAlign w:val="center"/>
          </w:tcPr>
          <w:p>
            <w:pPr>
              <w:widowControl/>
              <w:ind w:firstLine="0" w:firstLineChars="0"/>
              <w:jc w:val="center"/>
              <w:rPr>
                <w:kern w:val="0"/>
                <w:sz w:val="21"/>
                <w:szCs w:val="21"/>
              </w:rPr>
            </w:pPr>
            <w:r>
              <w:rPr>
                <w:kern w:val="0"/>
                <w:sz w:val="21"/>
                <w:szCs w:val="21"/>
              </w:rPr>
              <w:t>古</w:t>
            </w:r>
          </w:p>
        </w:tc>
        <w:tc>
          <w:tcPr>
            <w:tcW w:w="461" w:type="pct"/>
            <w:vAlign w:val="center"/>
          </w:tcPr>
          <w:p>
            <w:pPr>
              <w:widowControl/>
              <w:ind w:firstLine="0" w:firstLineChars="0"/>
              <w:jc w:val="center"/>
              <w:rPr>
                <w:kern w:val="0"/>
                <w:sz w:val="21"/>
                <w:szCs w:val="21"/>
              </w:rPr>
            </w:pPr>
            <w:r>
              <w:rPr>
                <w:kern w:val="0"/>
                <w:sz w:val="21"/>
                <w:szCs w:val="21"/>
              </w:rPr>
              <w:t>P</w:t>
            </w:r>
          </w:p>
        </w:tc>
        <w:tc>
          <w:tcPr>
            <w:tcW w:w="907" w:type="pct"/>
          </w:tcPr>
          <w:p>
            <w:pPr>
              <w:widowControl/>
              <w:ind w:firstLine="0" w:firstLineChars="0"/>
              <w:jc w:val="center"/>
              <w:rPr>
                <w:bCs/>
                <w:sz w:val="21"/>
                <w:szCs w:val="21"/>
              </w:rPr>
            </w:pPr>
            <w:r>
              <w:rPr>
                <w:bCs/>
                <w:sz w:val="21"/>
                <w:szCs w:val="21"/>
              </w:rPr>
              <w:t>静水类型</w:t>
            </w:r>
          </w:p>
        </w:tc>
        <w:tc>
          <w:tcPr>
            <w:tcW w:w="482" w:type="pct"/>
          </w:tcPr>
          <w:p>
            <w:pPr>
              <w:widowControl/>
              <w:ind w:firstLine="0" w:firstLineChars="0"/>
              <w:jc w:val="center"/>
              <w:rPr>
                <w:bCs/>
                <w:kern w:val="0"/>
                <w:sz w:val="21"/>
                <w:szCs w:val="21"/>
              </w:rPr>
            </w:pPr>
            <w:r>
              <w:rPr>
                <w:bCs/>
                <w:kern w:val="0"/>
                <w:sz w:val="21"/>
                <w:szCs w:val="21"/>
              </w:rPr>
              <w:t>++</w:t>
            </w:r>
          </w:p>
        </w:tc>
        <w:tc>
          <w:tcPr>
            <w:tcW w:w="437" w:type="pct"/>
          </w:tcPr>
          <w:p>
            <w:pPr>
              <w:ind w:firstLine="0" w:firstLineChars="0"/>
              <w:jc w:val="center"/>
              <w:rPr>
                <w:rFonts w:hint="eastAsia" w:eastAsia="宋体"/>
                <w:sz w:val="21"/>
                <w:szCs w:val="21"/>
                <w:lang w:eastAsia="zh-CN"/>
              </w:rPr>
            </w:pPr>
            <w:r>
              <w:rPr>
                <w:rFonts w:hint="eastAsia" w:cs="Times New Roman"/>
                <w:color w:val="auto"/>
                <w:kern w:val="0"/>
                <w:sz w:val="21"/>
                <w:szCs w:val="21"/>
                <w:highlight w:val="none"/>
                <w:lang w:eastAsia="zh-CN"/>
              </w:rPr>
              <w:t>调查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69" w:type="pct"/>
            <w:vAlign w:val="center"/>
          </w:tcPr>
          <w:p>
            <w:pPr>
              <w:widowControl/>
              <w:ind w:firstLine="0" w:firstLineChars="0"/>
              <w:jc w:val="center"/>
              <w:rPr>
                <w:rFonts w:hint="eastAsia" w:eastAsia="宋体"/>
                <w:kern w:val="0"/>
                <w:sz w:val="21"/>
                <w:szCs w:val="21"/>
                <w:lang w:val="en-US" w:eastAsia="zh-CN"/>
              </w:rPr>
            </w:pPr>
            <w:r>
              <w:rPr>
                <w:rFonts w:hint="eastAsia"/>
                <w:kern w:val="0"/>
                <w:sz w:val="21"/>
                <w:szCs w:val="21"/>
                <w:lang w:val="en-US" w:eastAsia="zh-CN"/>
              </w:rPr>
              <w:t>2</w:t>
            </w:r>
          </w:p>
        </w:tc>
        <w:tc>
          <w:tcPr>
            <w:tcW w:w="699" w:type="pct"/>
            <w:vAlign w:val="center"/>
          </w:tcPr>
          <w:p>
            <w:pPr>
              <w:widowControl/>
              <w:ind w:firstLine="0" w:firstLineChars="0"/>
              <w:jc w:val="left"/>
              <w:rPr>
                <w:rFonts w:hint="eastAsia"/>
                <w:kern w:val="0"/>
                <w:sz w:val="21"/>
                <w:szCs w:val="21"/>
              </w:rPr>
            </w:pPr>
            <w:r>
              <w:rPr>
                <w:kern w:val="0"/>
                <w:sz w:val="21"/>
                <w:szCs w:val="21"/>
              </w:rPr>
              <w:t>倭蛙</w:t>
            </w:r>
          </w:p>
        </w:tc>
        <w:tc>
          <w:tcPr>
            <w:tcW w:w="1109" w:type="pct"/>
            <w:vAlign w:val="center"/>
          </w:tcPr>
          <w:p>
            <w:pPr>
              <w:widowControl/>
              <w:ind w:firstLine="0" w:firstLineChars="0"/>
              <w:jc w:val="left"/>
              <w:rPr>
                <w:kern w:val="0"/>
                <w:sz w:val="21"/>
                <w:szCs w:val="21"/>
              </w:rPr>
            </w:pPr>
            <w:r>
              <w:rPr>
                <w:i/>
                <w:iCs/>
                <w:kern w:val="0"/>
                <w:sz w:val="21"/>
                <w:szCs w:val="21"/>
              </w:rPr>
              <w:t>Nanorana pleskei</w:t>
            </w:r>
          </w:p>
        </w:tc>
        <w:tc>
          <w:tcPr>
            <w:tcW w:w="432" w:type="pct"/>
            <w:vAlign w:val="center"/>
          </w:tcPr>
          <w:p>
            <w:pPr>
              <w:widowControl/>
              <w:ind w:firstLine="0" w:firstLineChars="0"/>
              <w:jc w:val="center"/>
              <w:rPr>
                <w:kern w:val="0"/>
                <w:sz w:val="21"/>
                <w:szCs w:val="21"/>
              </w:rPr>
            </w:pPr>
            <w:r>
              <w:rPr>
                <w:kern w:val="0"/>
                <w:sz w:val="21"/>
                <w:szCs w:val="21"/>
              </w:rPr>
              <w:t>古</w:t>
            </w:r>
          </w:p>
        </w:tc>
        <w:tc>
          <w:tcPr>
            <w:tcW w:w="461" w:type="pct"/>
            <w:vAlign w:val="center"/>
          </w:tcPr>
          <w:p>
            <w:pPr>
              <w:widowControl/>
              <w:ind w:firstLine="0" w:firstLineChars="0"/>
              <w:jc w:val="center"/>
              <w:rPr>
                <w:kern w:val="0"/>
                <w:sz w:val="21"/>
                <w:szCs w:val="21"/>
              </w:rPr>
            </w:pPr>
            <w:r>
              <w:rPr>
                <w:kern w:val="0"/>
                <w:sz w:val="21"/>
                <w:szCs w:val="21"/>
              </w:rPr>
              <w:t>P</w:t>
            </w:r>
          </w:p>
        </w:tc>
        <w:tc>
          <w:tcPr>
            <w:tcW w:w="907" w:type="pct"/>
          </w:tcPr>
          <w:p>
            <w:pPr>
              <w:ind w:firstLine="0" w:firstLineChars="0"/>
              <w:jc w:val="center"/>
              <w:rPr>
                <w:bCs/>
                <w:sz w:val="21"/>
                <w:szCs w:val="21"/>
              </w:rPr>
            </w:pPr>
            <w:r>
              <w:rPr>
                <w:bCs/>
                <w:sz w:val="21"/>
                <w:szCs w:val="21"/>
              </w:rPr>
              <w:t>静水类型</w:t>
            </w:r>
          </w:p>
        </w:tc>
        <w:tc>
          <w:tcPr>
            <w:tcW w:w="482" w:type="pct"/>
          </w:tcPr>
          <w:p>
            <w:pPr>
              <w:ind w:firstLine="0" w:firstLineChars="0"/>
              <w:jc w:val="center"/>
              <w:rPr>
                <w:kern w:val="0"/>
                <w:sz w:val="21"/>
                <w:szCs w:val="21"/>
              </w:rPr>
            </w:pPr>
            <w:r>
              <w:rPr>
                <w:kern w:val="0"/>
                <w:sz w:val="21"/>
                <w:szCs w:val="21"/>
              </w:rPr>
              <w:t>+++</w:t>
            </w:r>
          </w:p>
        </w:tc>
        <w:tc>
          <w:tcPr>
            <w:tcW w:w="437" w:type="pct"/>
          </w:tcPr>
          <w:p>
            <w:pPr>
              <w:ind w:firstLine="0" w:firstLineChars="0"/>
              <w:jc w:val="center"/>
              <w:rPr>
                <w:kern w:val="0"/>
                <w:sz w:val="21"/>
                <w:szCs w:val="21"/>
              </w:rPr>
            </w:pPr>
            <w:r>
              <w:rPr>
                <w:rFonts w:hint="eastAsia" w:cs="Times New Roman"/>
                <w:color w:val="auto"/>
                <w:kern w:val="0"/>
                <w:sz w:val="21"/>
                <w:szCs w:val="21"/>
                <w:highlight w:val="none"/>
                <w:lang w:eastAsia="zh-CN"/>
              </w:rPr>
              <w:t>调查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69" w:type="pct"/>
            <w:vAlign w:val="center"/>
          </w:tcPr>
          <w:p>
            <w:pPr>
              <w:widowControl/>
              <w:ind w:firstLine="0" w:firstLineChars="0"/>
              <w:jc w:val="center"/>
              <w:rPr>
                <w:rFonts w:hint="eastAsia"/>
                <w:b/>
                <w:bCs/>
                <w:kern w:val="0"/>
                <w:sz w:val="21"/>
                <w:szCs w:val="21"/>
              </w:rPr>
            </w:pPr>
            <w:r>
              <w:rPr>
                <w:rFonts w:hint="eastAsia"/>
                <w:b/>
                <w:bCs/>
                <w:kern w:val="0"/>
                <w:sz w:val="21"/>
                <w:szCs w:val="21"/>
              </w:rPr>
              <w:t>（二）</w:t>
            </w:r>
          </w:p>
        </w:tc>
        <w:tc>
          <w:tcPr>
            <w:tcW w:w="699" w:type="pct"/>
            <w:vAlign w:val="center"/>
          </w:tcPr>
          <w:p>
            <w:pPr>
              <w:widowControl/>
              <w:ind w:firstLine="0" w:firstLineChars="0"/>
              <w:jc w:val="left"/>
              <w:rPr>
                <w:rFonts w:hint="eastAsia"/>
                <w:b/>
                <w:bCs/>
                <w:kern w:val="0"/>
                <w:sz w:val="21"/>
                <w:szCs w:val="21"/>
              </w:rPr>
            </w:pPr>
            <w:r>
              <w:rPr>
                <w:b/>
                <w:bCs/>
                <w:kern w:val="0"/>
                <w:sz w:val="21"/>
                <w:szCs w:val="21"/>
              </w:rPr>
              <w:t>蟾蜍科</w:t>
            </w:r>
          </w:p>
        </w:tc>
        <w:tc>
          <w:tcPr>
            <w:tcW w:w="1109" w:type="pct"/>
            <w:vAlign w:val="center"/>
          </w:tcPr>
          <w:p>
            <w:pPr>
              <w:widowControl/>
              <w:ind w:firstLine="0" w:firstLineChars="0"/>
              <w:jc w:val="left"/>
              <w:rPr>
                <w:b/>
                <w:bCs/>
                <w:kern w:val="0"/>
                <w:sz w:val="21"/>
                <w:szCs w:val="21"/>
              </w:rPr>
            </w:pPr>
            <w:r>
              <w:rPr>
                <w:b/>
                <w:bCs/>
                <w:kern w:val="0"/>
                <w:sz w:val="21"/>
                <w:szCs w:val="21"/>
              </w:rPr>
              <w:t>Bufonidae</w:t>
            </w:r>
          </w:p>
        </w:tc>
        <w:tc>
          <w:tcPr>
            <w:tcW w:w="432" w:type="pct"/>
            <w:vAlign w:val="center"/>
          </w:tcPr>
          <w:p>
            <w:pPr>
              <w:widowControl/>
              <w:ind w:firstLine="0" w:firstLineChars="0"/>
              <w:jc w:val="center"/>
              <w:rPr>
                <w:kern w:val="0"/>
                <w:sz w:val="21"/>
                <w:szCs w:val="21"/>
              </w:rPr>
            </w:pPr>
          </w:p>
        </w:tc>
        <w:tc>
          <w:tcPr>
            <w:tcW w:w="461" w:type="pct"/>
            <w:vAlign w:val="center"/>
          </w:tcPr>
          <w:p>
            <w:pPr>
              <w:widowControl/>
              <w:ind w:firstLine="0" w:firstLineChars="0"/>
              <w:jc w:val="center"/>
              <w:rPr>
                <w:kern w:val="0"/>
                <w:sz w:val="21"/>
                <w:szCs w:val="21"/>
              </w:rPr>
            </w:pPr>
          </w:p>
        </w:tc>
        <w:tc>
          <w:tcPr>
            <w:tcW w:w="907" w:type="pct"/>
          </w:tcPr>
          <w:p>
            <w:pPr>
              <w:widowControl/>
              <w:ind w:firstLine="0" w:firstLineChars="0"/>
              <w:jc w:val="center"/>
              <w:rPr>
                <w:b/>
                <w:bCs/>
                <w:kern w:val="0"/>
                <w:sz w:val="21"/>
                <w:szCs w:val="21"/>
              </w:rPr>
            </w:pPr>
          </w:p>
        </w:tc>
        <w:tc>
          <w:tcPr>
            <w:tcW w:w="482" w:type="pct"/>
          </w:tcPr>
          <w:p>
            <w:pPr>
              <w:widowControl/>
              <w:ind w:firstLine="0" w:firstLineChars="0"/>
              <w:jc w:val="center"/>
              <w:rPr>
                <w:b/>
                <w:bCs/>
                <w:kern w:val="0"/>
                <w:sz w:val="21"/>
                <w:szCs w:val="21"/>
              </w:rPr>
            </w:pPr>
          </w:p>
        </w:tc>
        <w:tc>
          <w:tcPr>
            <w:tcW w:w="437" w:type="pct"/>
          </w:tcPr>
          <w:p>
            <w:pPr>
              <w:widowControl/>
              <w:ind w:firstLine="0" w:firstLineChars="0"/>
              <w:jc w:val="center"/>
              <w:rPr>
                <w:b/>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69" w:type="pct"/>
            <w:vAlign w:val="center"/>
          </w:tcPr>
          <w:p>
            <w:pPr>
              <w:widowControl/>
              <w:ind w:firstLine="0" w:firstLineChars="0"/>
              <w:jc w:val="center"/>
              <w:rPr>
                <w:rFonts w:hint="eastAsia" w:eastAsia="宋体"/>
                <w:kern w:val="0"/>
                <w:sz w:val="21"/>
                <w:szCs w:val="21"/>
                <w:lang w:val="en-US" w:eastAsia="zh-CN"/>
              </w:rPr>
            </w:pPr>
            <w:r>
              <w:rPr>
                <w:rFonts w:hint="eastAsia"/>
                <w:kern w:val="0"/>
                <w:sz w:val="21"/>
                <w:szCs w:val="21"/>
                <w:lang w:val="en-US" w:eastAsia="zh-CN"/>
              </w:rPr>
              <w:t>3</w:t>
            </w:r>
          </w:p>
        </w:tc>
        <w:tc>
          <w:tcPr>
            <w:tcW w:w="699" w:type="pct"/>
            <w:vAlign w:val="center"/>
          </w:tcPr>
          <w:p>
            <w:pPr>
              <w:widowControl/>
              <w:ind w:firstLine="0" w:firstLineChars="0"/>
              <w:jc w:val="left"/>
              <w:rPr>
                <w:rFonts w:hint="eastAsia"/>
                <w:kern w:val="0"/>
                <w:sz w:val="21"/>
                <w:szCs w:val="21"/>
              </w:rPr>
            </w:pPr>
            <w:r>
              <w:rPr>
                <w:rFonts w:hint="eastAsia"/>
                <w:kern w:val="0"/>
                <w:sz w:val="21"/>
                <w:szCs w:val="21"/>
              </w:rPr>
              <w:t>岷山蟾蜍</w:t>
            </w:r>
          </w:p>
        </w:tc>
        <w:tc>
          <w:tcPr>
            <w:tcW w:w="1109" w:type="pct"/>
            <w:vAlign w:val="center"/>
          </w:tcPr>
          <w:p>
            <w:pPr>
              <w:widowControl/>
              <w:ind w:firstLine="0" w:firstLineChars="0"/>
              <w:jc w:val="left"/>
              <w:rPr>
                <w:kern w:val="0"/>
                <w:sz w:val="21"/>
                <w:szCs w:val="21"/>
              </w:rPr>
            </w:pPr>
            <w:r>
              <w:rPr>
                <w:rFonts w:ascii="Times New Roman" w:hAnsi="Times New Roman" w:cs="Times New Roman"/>
                <w:i/>
                <w:iCs/>
                <w:color w:val="000000"/>
                <w:sz w:val="21"/>
                <w:szCs w:val="21"/>
              </w:rPr>
              <w:t>Bufo minshannicus</w:t>
            </w:r>
          </w:p>
        </w:tc>
        <w:tc>
          <w:tcPr>
            <w:tcW w:w="432" w:type="pct"/>
            <w:vAlign w:val="center"/>
          </w:tcPr>
          <w:p>
            <w:pPr>
              <w:widowControl/>
              <w:ind w:firstLine="0" w:firstLineChars="0"/>
              <w:jc w:val="center"/>
              <w:rPr>
                <w:rFonts w:ascii="Times New Roman" w:hAnsi="Times New Roman" w:eastAsia="宋体"/>
                <w:kern w:val="0"/>
                <w:sz w:val="21"/>
                <w:szCs w:val="21"/>
              </w:rPr>
            </w:pPr>
            <w:r>
              <w:rPr>
                <w:rFonts w:ascii="Times New Roman" w:hAnsi="Times New Roman" w:eastAsia="宋体"/>
                <w:kern w:val="0"/>
                <w:sz w:val="21"/>
                <w:szCs w:val="21"/>
              </w:rPr>
              <w:t>古</w:t>
            </w:r>
          </w:p>
        </w:tc>
        <w:tc>
          <w:tcPr>
            <w:tcW w:w="461" w:type="pct"/>
            <w:vAlign w:val="center"/>
          </w:tcPr>
          <w:p>
            <w:pPr>
              <w:widowControl/>
              <w:ind w:firstLine="0" w:firstLineChars="0"/>
              <w:jc w:val="center"/>
              <w:rPr>
                <w:rFonts w:ascii="Times New Roman" w:hAnsi="Times New Roman" w:eastAsia="宋体"/>
                <w:kern w:val="0"/>
                <w:sz w:val="21"/>
                <w:szCs w:val="21"/>
              </w:rPr>
            </w:pPr>
            <w:r>
              <w:rPr>
                <w:rFonts w:ascii="Times New Roman" w:hAnsi="Times New Roman" w:eastAsia="宋体"/>
                <w:kern w:val="0"/>
                <w:sz w:val="21"/>
                <w:szCs w:val="21"/>
              </w:rPr>
              <w:t>P</w:t>
            </w:r>
          </w:p>
        </w:tc>
        <w:tc>
          <w:tcPr>
            <w:tcW w:w="907" w:type="pct"/>
            <w:vAlign w:val="top"/>
          </w:tcPr>
          <w:p>
            <w:pPr>
              <w:widowControl/>
              <w:ind w:firstLine="0" w:firstLineChars="0"/>
              <w:jc w:val="center"/>
              <w:rPr>
                <w:rFonts w:ascii="Times New Roman" w:hAnsi="Times New Roman" w:eastAsia="宋体"/>
                <w:kern w:val="0"/>
                <w:sz w:val="21"/>
                <w:szCs w:val="21"/>
              </w:rPr>
            </w:pPr>
            <w:r>
              <w:rPr>
                <w:rFonts w:ascii="Times New Roman" w:hAnsi="Times New Roman" w:eastAsia="宋体"/>
                <w:kern w:val="0"/>
                <w:sz w:val="21"/>
                <w:szCs w:val="21"/>
              </w:rPr>
              <w:t>穴居陆栖类型</w:t>
            </w:r>
          </w:p>
        </w:tc>
        <w:tc>
          <w:tcPr>
            <w:tcW w:w="482" w:type="pct"/>
            <w:vAlign w:val="top"/>
          </w:tcPr>
          <w:p>
            <w:pPr>
              <w:widowControl/>
              <w:ind w:firstLine="0" w:firstLineChars="0"/>
              <w:jc w:val="center"/>
              <w:rPr>
                <w:rFonts w:ascii="Times New Roman" w:hAnsi="Times New Roman" w:eastAsia="宋体"/>
                <w:kern w:val="0"/>
                <w:sz w:val="21"/>
                <w:szCs w:val="21"/>
              </w:rPr>
            </w:pPr>
            <w:r>
              <w:rPr>
                <w:rFonts w:ascii="Times New Roman" w:hAnsi="Times New Roman" w:eastAsia="宋体"/>
                <w:kern w:val="0"/>
                <w:sz w:val="21"/>
                <w:szCs w:val="21"/>
              </w:rPr>
              <w:t>+++</w:t>
            </w:r>
          </w:p>
        </w:tc>
        <w:tc>
          <w:tcPr>
            <w:tcW w:w="437" w:type="pct"/>
            <w:vAlign w:val="top"/>
          </w:tcPr>
          <w:p>
            <w:pPr>
              <w:widowControl/>
              <w:ind w:firstLine="0" w:firstLineChars="0"/>
              <w:jc w:val="center"/>
              <w:rPr>
                <w:rFonts w:ascii="Times New Roman" w:hAnsi="Times New Roman" w:eastAsia="宋体"/>
                <w:kern w:val="0"/>
                <w:sz w:val="21"/>
                <w:szCs w:val="21"/>
              </w:rPr>
            </w:pPr>
            <w:r>
              <w:rPr>
                <w:rFonts w:hint="eastAsia" w:cs="Times New Roman"/>
                <w:color w:val="auto"/>
                <w:kern w:val="0"/>
                <w:sz w:val="21"/>
                <w:szCs w:val="21"/>
                <w:highlight w:val="none"/>
                <w:lang w:eastAsia="zh-CN"/>
              </w:rPr>
              <w:t>调查</w:t>
            </w:r>
          </w:p>
        </w:tc>
      </w:tr>
    </w:tbl>
    <w:p>
      <w:pPr>
        <w:spacing w:line="240" w:lineRule="auto"/>
        <w:ind w:firstLine="0" w:firstLineChars="0"/>
        <w:rPr>
          <w:rFonts w:hint="eastAsia"/>
          <w:sz w:val="18"/>
          <w:szCs w:val="18"/>
        </w:rPr>
      </w:pPr>
      <w:r>
        <w:rPr>
          <w:rFonts w:hint="eastAsia"/>
          <w:b/>
          <w:sz w:val="18"/>
          <w:szCs w:val="18"/>
        </w:rPr>
        <w:t>注：区系：</w:t>
      </w:r>
      <w:r>
        <w:rPr>
          <w:rFonts w:hint="eastAsia"/>
          <w:sz w:val="18"/>
          <w:szCs w:val="18"/>
        </w:rPr>
        <w:t>古-古北界；东-东洋界。</w:t>
      </w:r>
      <w:r>
        <w:rPr>
          <w:rFonts w:hint="eastAsia"/>
          <w:b/>
          <w:sz w:val="18"/>
          <w:szCs w:val="18"/>
        </w:rPr>
        <w:t>分布型：</w:t>
      </w:r>
      <w:r>
        <w:rPr>
          <w:rFonts w:hint="eastAsia"/>
          <w:sz w:val="18"/>
          <w:szCs w:val="18"/>
        </w:rPr>
        <w:t>H-喜马拉雅－横断山区型及云贵高原型；P-高地型。</w:t>
      </w:r>
      <w:r>
        <w:rPr>
          <w:rFonts w:hint="eastAsia"/>
          <w:b/>
          <w:sz w:val="18"/>
          <w:szCs w:val="18"/>
        </w:rPr>
        <w:t>数量：</w:t>
      </w:r>
      <w:r>
        <w:rPr>
          <w:rFonts w:hint="eastAsia"/>
          <w:sz w:val="18"/>
          <w:szCs w:val="18"/>
        </w:rPr>
        <w:t>+++：优势种；++：常见种；+：稀有种。</w:t>
      </w:r>
    </w:p>
    <w:p>
      <w:pPr>
        <w:ind w:firstLine="0" w:firstLineChars="0"/>
        <w:jc w:val="center"/>
        <w:rPr>
          <w:b/>
        </w:rPr>
      </w:pPr>
      <w:r>
        <w:rPr>
          <w:rFonts w:hint="eastAsia"/>
          <w:b/>
        </w:rPr>
        <w:t>c评价区爬行类名录</w:t>
      </w:r>
    </w:p>
    <w:tbl>
      <w:tblPr>
        <w:tblStyle w:val="42"/>
        <w:tblW w:w="4889" w:type="pct"/>
        <w:jc w:val="center"/>
        <w:tblLayout w:type="fixed"/>
        <w:tblCellMar>
          <w:top w:w="0" w:type="dxa"/>
          <w:left w:w="108" w:type="dxa"/>
          <w:bottom w:w="0" w:type="dxa"/>
          <w:right w:w="108" w:type="dxa"/>
        </w:tblCellMar>
      </w:tblPr>
      <w:tblGrid>
        <w:gridCol w:w="782"/>
        <w:gridCol w:w="1189"/>
        <w:gridCol w:w="2107"/>
        <w:gridCol w:w="781"/>
        <w:gridCol w:w="849"/>
        <w:gridCol w:w="1081"/>
        <w:gridCol w:w="791"/>
        <w:gridCol w:w="759"/>
      </w:tblGrid>
      <w:tr>
        <w:tblPrEx>
          <w:tblCellMar>
            <w:top w:w="0" w:type="dxa"/>
            <w:left w:w="108" w:type="dxa"/>
            <w:bottom w:w="0" w:type="dxa"/>
            <w:right w:w="108" w:type="dxa"/>
          </w:tblCellMar>
        </w:tblPrEx>
        <w:trPr>
          <w:trHeight w:val="626" w:hRule="exact"/>
          <w:jc w:val="center"/>
        </w:trPr>
        <w:tc>
          <w:tcPr>
            <w:tcW w:w="468" w:type="pct"/>
            <w:tcBorders>
              <w:top w:val="single" w:color="auto" w:sz="4" w:space="0"/>
              <w:left w:val="single" w:color="auto" w:sz="4" w:space="0"/>
              <w:bottom w:val="single" w:color="auto" w:sz="4" w:space="0"/>
              <w:right w:val="single" w:color="auto" w:sz="4" w:space="0"/>
            </w:tcBorders>
            <w:shd w:val="clear" w:color="auto" w:fill="CFCECE" w:themeFill="background2" w:themeFillShade="E5"/>
            <w:noWrap/>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序号</w:t>
            </w:r>
          </w:p>
        </w:tc>
        <w:tc>
          <w:tcPr>
            <w:tcW w:w="712"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物种</w:t>
            </w:r>
          </w:p>
        </w:tc>
        <w:tc>
          <w:tcPr>
            <w:tcW w:w="1263"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拉丁名</w:t>
            </w:r>
          </w:p>
        </w:tc>
        <w:tc>
          <w:tcPr>
            <w:tcW w:w="468"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区系</w:t>
            </w:r>
          </w:p>
        </w:tc>
        <w:tc>
          <w:tcPr>
            <w:tcW w:w="509" w:type="pct"/>
            <w:tcBorders>
              <w:top w:val="single" w:color="auto" w:sz="4" w:space="0"/>
              <w:left w:val="nil"/>
              <w:bottom w:val="single" w:color="auto" w:sz="4" w:space="0"/>
              <w:right w:val="single" w:color="auto" w:sz="4" w:space="0"/>
            </w:tcBorders>
            <w:shd w:val="clear" w:color="auto" w:fill="CFCECE" w:themeFill="background2" w:themeFillShade="E5"/>
            <w:noWrap/>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分布型</w:t>
            </w:r>
          </w:p>
        </w:tc>
        <w:tc>
          <w:tcPr>
            <w:tcW w:w="648"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特有种</w:t>
            </w:r>
          </w:p>
        </w:tc>
        <w:tc>
          <w:tcPr>
            <w:tcW w:w="474"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种群</w:t>
            </w:r>
          </w:p>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数量</w:t>
            </w:r>
          </w:p>
        </w:tc>
        <w:tc>
          <w:tcPr>
            <w:tcW w:w="455"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数据</w:t>
            </w:r>
          </w:p>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来源</w:t>
            </w:r>
          </w:p>
        </w:tc>
      </w:tr>
      <w:tr>
        <w:tblPrEx>
          <w:tblCellMar>
            <w:top w:w="0" w:type="dxa"/>
            <w:left w:w="108" w:type="dxa"/>
            <w:bottom w:w="0" w:type="dxa"/>
            <w:right w:w="108" w:type="dxa"/>
          </w:tblCellMar>
        </w:tblPrEx>
        <w:trPr>
          <w:trHeight w:val="454" w:hRule="exact"/>
          <w:jc w:val="center"/>
        </w:trPr>
        <w:tc>
          <w:tcPr>
            <w:tcW w:w="468" w:type="pct"/>
            <w:tcBorders>
              <w:top w:val="nil"/>
              <w:left w:val="single" w:color="auto" w:sz="4" w:space="0"/>
              <w:bottom w:val="single" w:color="auto" w:sz="4" w:space="0"/>
              <w:right w:val="single" w:color="auto" w:sz="4" w:space="0"/>
            </w:tcBorders>
            <w:shd w:val="clear" w:color="auto" w:fill="E7E6E6" w:themeFill="background2"/>
            <w:noWrap/>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一</w:t>
            </w:r>
          </w:p>
        </w:tc>
        <w:tc>
          <w:tcPr>
            <w:tcW w:w="712" w:type="pct"/>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 xml:space="preserve">有鳞目 </w:t>
            </w:r>
          </w:p>
        </w:tc>
        <w:tc>
          <w:tcPr>
            <w:tcW w:w="3818" w:type="pct"/>
            <w:gridSpan w:val="6"/>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jc w:val="both"/>
              <w:rPr>
                <w:rFonts w:cs="Times New Roman"/>
                <w:b/>
                <w:bCs/>
                <w:color w:val="000000"/>
                <w:kern w:val="0"/>
                <w:sz w:val="21"/>
                <w:szCs w:val="21"/>
              </w:rPr>
            </w:pPr>
            <w:r>
              <w:rPr>
                <w:rFonts w:cs="Times New Roman"/>
                <w:b/>
                <w:bCs/>
                <w:color w:val="000000"/>
                <w:kern w:val="0"/>
                <w:sz w:val="21"/>
                <w:szCs w:val="21"/>
              </w:rPr>
              <w:t>SQUAMATA</w:t>
            </w:r>
          </w:p>
        </w:tc>
      </w:tr>
      <w:tr>
        <w:tblPrEx>
          <w:tblCellMar>
            <w:top w:w="0" w:type="dxa"/>
            <w:left w:w="108" w:type="dxa"/>
            <w:bottom w:w="0" w:type="dxa"/>
            <w:right w:w="108" w:type="dxa"/>
          </w:tblCellMar>
        </w:tblPrEx>
        <w:trPr>
          <w:trHeight w:val="454" w:hRule="exact"/>
          <w:jc w:val="center"/>
        </w:trPr>
        <w:tc>
          <w:tcPr>
            <w:tcW w:w="468"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(一)</w:t>
            </w:r>
          </w:p>
        </w:tc>
        <w:tc>
          <w:tcPr>
            <w:tcW w:w="7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cs="Times New Roman"/>
                <w:b/>
                <w:bCs/>
                <w:color w:val="000000"/>
                <w:kern w:val="0"/>
                <w:sz w:val="21"/>
                <w:szCs w:val="21"/>
              </w:rPr>
            </w:pPr>
            <w:r>
              <w:rPr>
                <w:rFonts w:cs="Times New Roman"/>
                <w:b/>
                <w:bCs/>
                <w:color w:val="000000"/>
                <w:kern w:val="0"/>
                <w:sz w:val="21"/>
                <w:szCs w:val="21"/>
              </w:rPr>
              <w:t xml:space="preserve">石龙子科 </w:t>
            </w:r>
          </w:p>
        </w:tc>
        <w:tc>
          <w:tcPr>
            <w:tcW w:w="12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cs="Times New Roman"/>
                <w:b/>
                <w:bCs/>
                <w:color w:val="000000"/>
                <w:kern w:val="0"/>
                <w:sz w:val="21"/>
                <w:szCs w:val="21"/>
              </w:rPr>
            </w:pPr>
            <w:r>
              <w:rPr>
                <w:rFonts w:cs="Times New Roman"/>
                <w:b/>
                <w:bCs/>
                <w:color w:val="000000"/>
                <w:kern w:val="0"/>
                <w:sz w:val="21"/>
                <w:szCs w:val="21"/>
              </w:rPr>
              <w:t>Scincidae</w:t>
            </w:r>
          </w:p>
        </w:tc>
        <w:tc>
          <w:tcPr>
            <w:tcW w:w="468"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rPr>
            </w:pPr>
            <w:r>
              <w:rPr>
                <w:rFonts w:cs="Times New Roman"/>
                <w:color w:val="000000"/>
                <w:kern w:val="0"/>
                <w:sz w:val="21"/>
                <w:szCs w:val="21"/>
              </w:rPr>
              <w:t>　</w:t>
            </w:r>
          </w:p>
        </w:tc>
        <w:tc>
          <w:tcPr>
            <w:tcW w:w="50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rPr>
            </w:pPr>
            <w:r>
              <w:rPr>
                <w:rFonts w:cs="Times New Roman"/>
                <w:color w:val="000000"/>
                <w:kern w:val="0"/>
                <w:sz w:val="21"/>
                <w:szCs w:val="21"/>
              </w:rPr>
              <w:t>　</w:t>
            </w:r>
          </w:p>
        </w:tc>
        <w:tc>
          <w:tcPr>
            <w:tcW w:w="64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　</w:t>
            </w:r>
          </w:p>
        </w:tc>
        <w:tc>
          <w:tcPr>
            <w:tcW w:w="47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　</w:t>
            </w:r>
          </w:p>
        </w:tc>
        <w:tc>
          <w:tcPr>
            <w:tcW w:w="4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　</w:t>
            </w:r>
          </w:p>
        </w:tc>
      </w:tr>
      <w:tr>
        <w:tblPrEx>
          <w:tblCellMar>
            <w:top w:w="0" w:type="dxa"/>
            <w:left w:w="108" w:type="dxa"/>
            <w:bottom w:w="0" w:type="dxa"/>
            <w:right w:w="108" w:type="dxa"/>
          </w:tblCellMar>
        </w:tblPrEx>
        <w:trPr>
          <w:trHeight w:val="454" w:hRule="exact"/>
          <w:jc w:val="center"/>
        </w:trPr>
        <w:tc>
          <w:tcPr>
            <w:tcW w:w="468"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w:t>
            </w:r>
          </w:p>
        </w:tc>
        <w:tc>
          <w:tcPr>
            <w:tcW w:w="7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cs="Times New Roman"/>
                <w:color w:val="000000"/>
                <w:kern w:val="0"/>
                <w:sz w:val="21"/>
                <w:szCs w:val="21"/>
              </w:rPr>
            </w:pPr>
            <w:r>
              <w:rPr>
                <w:rFonts w:cs="Times New Roman"/>
                <w:color w:val="000000"/>
                <w:kern w:val="0"/>
                <w:sz w:val="21"/>
                <w:szCs w:val="21"/>
              </w:rPr>
              <w:t>秦岭滑蜥</w:t>
            </w:r>
          </w:p>
        </w:tc>
        <w:tc>
          <w:tcPr>
            <w:tcW w:w="12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i/>
                <w:iCs/>
                <w:color w:val="000000"/>
                <w:kern w:val="0"/>
                <w:sz w:val="21"/>
                <w:szCs w:val="21"/>
              </w:rPr>
            </w:pPr>
            <w:r>
              <w:rPr>
                <w:rFonts w:cs="Times New Roman"/>
                <w:i/>
                <w:iCs/>
                <w:color w:val="000000"/>
                <w:kern w:val="0"/>
                <w:sz w:val="21"/>
                <w:szCs w:val="21"/>
              </w:rPr>
              <w:t>Scincella tsinlingensis</w:t>
            </w:r>
          </w:p>
        </w:tc>
        <w:tc>
          <w:tcPr>
            <w:tcW w:w="4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东</w:t>
            </w:r>
          </w:p>
        </w:tc>
        <w:tc>
          <w:tcPr>
            <w:tcW w:w="50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H</w:t>
            </w:r>
          </w:p>
        </w:tc>
        <w:tc>
          <w:tcPr>
            <w:tcW w:w="64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宋体" w:cs="Times New Roman"/>
                <w:color w:val="000000"/>
                <w:kern w:val="0"/>
                <w:sz w:val="21"/>
                <w:szCs w:val="21"/>
                <w:lang w:val="en-US" w:eastAsia="zh-CN" w:bidi="ar-SA"/>
              </w:rPr>
            </w:pPr>
            <w:r>
              <w:rPr>
                <w:rFonts w:cs="Times New Roman"/>
                <w:color w:val="000000"/>
                <w:kern w:val="0"/>
                <w:sz w:val="21"/>
                <w:szCs w:val="21"/>
              </w:rPr>
              <w:t>U</w:t>
            </w:r>
          </w:p>
        </w:tc>
        <w:tc>
          <w:tcPr>
            <w:tcW w:w="47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宋体" w:cs="Times New Roman"/>
                <w:color w:val="000000"/>
                <w:kern w:val="0"/>
                <w:sz w:val="21"/>
                <w:szCs w:val="21"/>
                <w:lang w:val="en-US" w:eastAsia="zh-CN" w:bidi="ar-SA"/>
              </w:rPr>
            </w:pPr>
            <w:r>
              <w:rPr>
                <w:rFonts w:cs="Times New Roman"/>
                <w:color w:val="000000"/>
                <w:kern w:val="0"/>
                <w:sz w:val="21"/>
                <w:szCs w:val="21"/>
              </w:rPr>
              <w:t>+</w:t>
            </w:r>
          </w:p>
        </w:tc>
        <w:tc>
          <w:tcPr>
            <w:tcW w:w="4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454" w:hRule="exact"/>
          <w:jc w:val="center"/>
        </w:trPr>
        <w:tc>
          <w:tcPr>
            <w:tcW w:w="468"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(二)</w:t>
            </w:r>
          </w:p>
        </w:tc>
        <w:tc>
          <w:tcPr>
            <w:tcW w:w="7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cs="Times New Roman"/>
                <w:b/>
                <w:bCs/>
                <w:color w:val="000000"/>
                <w:kern w:val="0"/>
                <w:sz w:val="21"/>
                <w:szCs w:val="21"/>
              </w:rPr>
            </w:pPr>
            <w:r>
              <w:rPr>
                <w:rFonts w:cs="Times New Roman"/>
                <w:b/>
                <w:bCs/>
                <w:color w:val="000000"/>
                <w:kern w:val="0"/>
                <w:sz w:val="21"/>
                <w:szCs w:val="21"/>
              </w:rPr>
              <w:t>蝰科</w:t>
            </w:r>
          </w:p>
        </w:tc>
        <w:tc>
          <w:tcPr>
            <w:tcW w:w="12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cs="Times New Roman"/>
                <w:b/>
                <w:bCs/>
                <w:color w:val="000000"/>
                <w:kern w:val="0"/>
                <w:sz w:val="21"/>
                <w:szCs w:val="21"/>
              </w:rPr>
            </w:pPr>
            <w:r>
              <w:rPr>
                <w:rFonts w:cs="Times New Roman"/>
                <w:b/>
                <w:bCs/>
                <w:color w:val="000000"/>
                <w:kern w:val="0"/>
                <w:sz w:val="21"/>
                <w:szCs w:val="21"/>
              </w:rPr>
              <w:t>Viperidae</w:t>
            </w:r>
          </w:p>
        </w:tc>
        <w:tc>
          <w:tcPr>
            <w:tcW w:w="4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000000"/>
                <w:kern w:val="0"/>
                <w:sz w:val="21"/>
                <w:szCs w:val="21"/>
              </w:rPr>
            </w:pPr>
          </w:p>
        </w:tc>
        <w:tc>
          <w:tcPr>
            <w:tcW w:w="50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64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宋体" w:cs="Times New Roman"/>
                <w:color w:val="000000"/>
                <w:kern w:val="0"/>
                <w:sz w:val="21"/>
                <w:szCs w:val="21"/>
                <w:lang w:val="en-US" w:eastAsia="zh-CN" w:bidi="ar-SA"/>
              </w:rPr>
            </w:pPr>
          </w:p>
        </w:tc>
        <w:tc>
          <w:tcPr>
            <w:tcW w:w="47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宋体" w:cs="Times New Roman"/>
                <w:color w:val="000000"/>
                <w:kern w:val="0"/>
                <w:sz w:val="21"/>
                <w:szCs w:val="21"/>
                <w:lang w:val="en-US" w:eastAsia="zh-CN" w:bidi="ar-SA"/>
              </w:rPr>
            </w:pPr>
          </w:p>
        </w:tc>
        <w:tc>
          <w:tcPr>
            <w:tcW w:w="45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000000"/>
                <w:kern w:val="0"/>
                <w:sz w:val="21"/>
                <w:szCs w:val="21"/>
              </w:rPr>
            </w:pPr>
          </w:p>
        </w:tc>
      </w:tr>
      <w:tr>
        <w:tblPrEx>
          <w:tblCellMar>
            <w:top w:w="0" w:type="dxa"/>
            <w:left w:w="108" w:type="dxa"/>
            <w:bottom w:w="0" w:type="dxa"/>
            <w:right w:w="108" w:type="dxa"/>
          </w:tblCellMar>
        </w:tblPrEx>
        <w:trPr>
          <w:trHeight w:val="454" w:hRule="exact"/>
          <w:jc w:val="center"/>
        </w:trPr>
        <w:tc>
          <w:tcPr>
            <w:tcW w:w="468"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w:t>
            </w:r>
          </w:p>
        </w:tc>
        <w:tc>
          <w:tcPr>
            <w:tcW w:w="7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cs="Times New Roman"/>
                <w:color w:val="000000"/>
                <w:kern w:val="0"/>
                <w:sz w:val="21"/>
                <w:szCs w:val="21"/>
              </w:rPr>
            </w:pPr>
            <w:r>
              <w:rPr>
                <w:rFonts w:cs="Times New Roman"/>
                <w:color w:val="000000"/>
                <w:kern w:val="0"/>
                <w:sz w:val="21"/>
                <w:szCs w:val="21"/>
              </w:rPr>
              <w:t>高原蝮</w:t>
            </w:r>
          </w:p>
        </w:tc>
        <w:tc>
          <w:tcPr>
            <w:tcW w:w="12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i/>
                <w:iCs/>
                <w:color w:val="000000"/>
                <w:kern w:val="0"/>
                <w:sz w:val="21"/>
                <w:szCs w:val="21"/>
              </w:rPr>
            </w:pPr>
            <w:r>
              <w:rPr>
                <w:rFonts w:cs="Times New Roman"/>
                <w:i/>
                <w:iCs/>
                <w:color w:val="000000"/>
                <w:kern w:val="0"/>
                <w:sz w:val="21"/>
                <w:szCs w:val="21"/>
              </w:rPr>
              <w:t>Gloydius strauchi</w:t>
            </w:r>
          </w:p>
        </w:tc>
        <w:tc>
          <w:tcPr>
            <w:tcW w:w="4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东</w:t>
            </w:r>
          </w:p>
        </w:tc>
        <w:tc>
          <w:tcPr>
            <w:tcW w:w="50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H</w:t>
            </w:r>
          </w:p>
        </w:tc>
        <w:tc>
          <w:tcPr>
            <w:tcW w:w="64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宋体" w:cs="Times New Roman"/>
                <w:color w:val="000000"/>
                <w:kern w:val="0"/>
                <w:sz w:val="21"/>
                <w:szCs w:val="21"/>
                <w:lang w:val="en-US" w:eastAsia="zh-CN" w:bidi="ar-SA"/>
              </w:rPr>
            </w:pPr>
            <w:r>
              <w:rPr>
                <w:rFonts w:cs="Times New Roman"/>
                <w:color w:val="000000"/>
                <w:kern w:val="0"/>
                <w:sz w:val="21"/>
                <w:szCs w:val="21"/>
              </w:rPr>
              <w:t>U</w:t>
            </w:r>
          </w:p>
        </w:tc>
        <w:tc>
          <w:tcPr>
            <w:tcW w:w="47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宋体" w:cs="Times New Roman"/>
                <w:color w:val="000000"/>
                <w:kern w:val="0"/>
                <w:sz w:val="21"/>
                <w:szCs w:val="21"/>
                <w:lang w:val="en-US" w:eastAsia="zh-CN" w:bidi="ar-SA"/>
              </w:rPr>
            </w:pPr>
            <w:r>
              <w:rPr>
                <w:rFonts w:cs="Times New Roman"/>
                <w:color w:val="000000"/>
                <w:kern w:val="0"/>
                <w:sz w:val="21"/>
                <w:szCs w:val="21"/>
              </w:rPr>
              <w:t>+</w:t>
            </w:r>
          </w:p>
        </w:tc>
        <w:tc>
          <w:tcPr>
            <w:tcW w:w="4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454" w:hRule="exact"/>
          <w:jc w:val="center"/>
        </w:trPr>
        <w:tc>
          <w:tcPr>
            <w:tcW w:w="468"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(三)</w:t>
            </w:r>
          </w:p>
        </w:tc>
        <w:tc>
          <w:tcPr>
            <w:tcW w:w="71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cs="Times New Roman"/>
                <w:b/>
                <w:bCs/>
                <w:color w:val="000000"/>
                <w:kern w:val="0"/>
                <w:sz w:val="21"/>
                <w:szCs w:val="21"/>
              </w:rPr>
            </w:pPr>
            <w:r>
              <w:rPr>
                <w:rFonts w:cs="Times New Roman"/>
                <w:b/>
                <w:bCs/>
                <w:color w:val="000000"/>
                <w:kern w:val="0"/>
                <w:sz w:val="21"/>
                <w:szCs w:val="21"/>
              </w:rPr>
              <w:t>游蛇科</w:t>
            </w:r>
          </w:p>
        </w:tc>
        <w:tc>
          <w:tcPr>
            <w:tcW w:w="1263"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left"/>
              <w:rPr>
                <w:rFonts w:cs="Times New Roman"/>
                <w:b/>
                <w:bCs/>
                <w:color w:val="000000"/>
                <w:kern w:val="0"/>
                <w:sz w:val="21"/>
                <w:szCs w:val="21"/>
              </w:rPr>
            </w:pPr>
            <w:r>
              <w:rPr>
                <w:rFonts w:cs="Times New Roman"/>
                <w:b/>
                <w:bCs/>
                <w:color w:val="000000"/>
                <w:kern w:val="0"/>
                <w:sz w:val="21"/>
                <w:szCs w:val="21"/>
              </w:rPr>
              <w:t>Colubridae</w:t>
            </w:r>
          </w:p>
        </w:tc>
        <w:tc>
          <w:tcPr>
            <w:tcW w:w="468"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000000"/>
                <w:kern w:val="0"/>
                <w:sz w:val="21"/>
                <w:szCs w:val="21"/>
              </w:rPr>
            </w:pPr>
          </w:p>
        </w:tc>
        <w:tc>
          <w:tcPr>
            <w:tcW w:w="50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000000"/>
                <w:kern w:val="0"/>
                <w:sz w:val="21"/>
                <w:szCs w:val="21"/>
              </w:rPr>
            </w:pPr>
          </w:p>
        </w:tc>
        <w:tc>
          <w:tcPr>
            <w:tcW w:w="648"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ascii="Times New Roman" w:hAnsi="Times New Roman" w:eastAsia="宋体" w:cs="Times New Roman"/>
                <w:color w:val="000000"/>
                <w:kern w:val="0"/>
                <w:sz w:val="21"/>
                <w:szCs w:val="21"/>
                <w:lang w:val="en-US" w:eastAsia="zh-CN" w:bidi="ar-SA"/>
              </w:rPr>
            </w:pPr>
          </w:p>
        </w:tc>
        <w:tc>
          <w:tcPr>
            <w:tcW w:w="47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ascii="Times New Roman" w:hAnsi="Times New Roman" w:eastAsia="宋体" w:cs="Times New Roman"/>
                <w:color w:val="000000"/>
                <w:kern w:val="0"/>
                <w:sz w:val="21"/>
                <w:szCs w:val="21"/>
                <w:lang w:val="en-US" w:eastAsia="zh-CN" w:bidi="ar-SA"/>
              </w:rPr>
            </w:pPr>
          </w:p>
        </w:tc>
        <w:tc>
          <w:tcPr>
            <w:tcW w:w="455"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000000"/>
                <w:kern w:val="0"/>
                <w:sz w:val="21"/>
                <w:szCs w:val="21"/>
              </w:rPr>
            </w:pPr>
          </w:p>
        </w:tc>
      </w:tr>
      <w:tr>
        <w:tblPrEx>
          <w:tblCellMar>
            <w:top w:w="0" w:type="dxa"/>
            <w:left w:w="108" w:type="dxa"/>
            <w:bottom w:w="0" w:type="dxa"/>
            <w:right w:w="108" w:type="dxa"/>
          </w:tblCellMar>
        </w:tblPrEx>
        <w:trPr>
          <w:trHeight w:val="454" w:hRule="exact"/>
          <w:jc w:val="center"/>
        </w:trPr>
        <w:tc>
          <w:tcPr>
            <w:tcW w:w="468"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3</w:t>
            </w:r>
          </w:p>
        </w:tc>
        <w:tc>
          <w:tcPr>
            <w:tcW w:w="712"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cs="Times New Roman"/>
                <w:color w:val="000000"/>
                <w:kern w:val="0"/>
                <w:sz w:val="21"/>
                <w:szCs w:val="21"/>
              </w:rPr>
            </w:pPr>
            <w:r>
              <w:rPr>
                <w:rFonts w:cs="Times New Roman"/>
                <w:color w:val="000000"/>
                <w:kern w:val="0"/>
                <w:sz w:val="21"/>
                <w:szCs w:val="21"/>
              </w:rPr>
              <w:t>白条锦蛇</w:t>
            </w:r>
          </w:p>
        </w:tc>
        <w:tc>
          <w:tcPr>
            <w:tcW w:w="1263"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i/>
                <w:iCs/>
                <w:color w:val="000000"/>
                <w:kern w:val="0"/>
                <w:sz w:val="21"/>
                <w:szCs w:val="21"/>
              </w:rPr>
            </w:pPr>
            <w:r>
              <w:rPr>
                <w:rFonts w:cs="Times New Roman"/>
                <w:i/>
                <w:iCs/>
                <w:color w:val="000000"/>
                <w:kern w:val="0"/>
                <w:sz w:val="21"/>
                <w:szCs w:val="21"/>
              </w:rPr>
              <w:t>Elaphe dione</w:t>
            </w:r>
          </w:p>
        </w:tc>
        <w:tc>
          <w:tcPr>
            <w:tcW w:w="468"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古</w:t>
            </w:r>
          </w:p>
        </w:tc>
        <w:tc>
          <w:tcPr>
            <w:tcW w:w="50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U</w:t>
            </w:r>
          </w:p>
        </w:tc>
        <w:tc>
          <w:tcPr>
            <w:tcW w:w="64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宋体" w:cs="Times New Roman"/>
                <w:color w:val="000000"/>
                <w:kern w:val="0"/>
                <w:sz w:val="21"/>
                <w:szCs w:val="21"/>
                <w:lang w:val="en-US" w:eastAsia="zh-CN" w:bidi="ar-SA"/>
              </w:rPr>
            </w:pPr>
            <w:r>
              <w:rPr>
                <w:rFonts w:cs="Times New Roman"/>
                <w:color w:val="000000"/>
                <w:kern w:val="0"/>
                <w:sz w:val="21"/>
                <w:szCs w:val="21"/>
              </w:rPr>
              <w:t>U</w:t>
            </w:r>
          </w:p>
        </w:tc>
        <w:tc>
          <w:tcPr>
            <w:tcW w:w="47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宋体" w:cs="Times New Roman"/>
                <w:color w:val="000000"/>
                <w:kern w:val="0"/>
                <w:sz w:val="21"/>
                <w:szCs w:val="21"/>
                <w:lang w:val="en-US" w:eastAsia="zh-CN" w:bidi="ar-SA"/>
              </w:rPr>
            </w:pPr>
            <w:r>
              <w:rPr>
                <w:rFonts w:cs="Times New Roman"/>
                <w:color w:val="000000"/>
                <w:kern w:val="0"/>
                <w:sz w:val="21"/>
                <w:szCs w:val="21"/>
              </w:rPr>
              <w:t>+</w:t>
            </w:r>
          </w:p>
        </w:tc>
        <w:tc>
          <w:tcPr>
            <w:tcW w:w="4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hint="eastAsia"/>
                <w:kern w:val="0"/>
                <w:sz w:val="21"/>
                <w:szCs w:val="21"/>
                <w:lang w:val="en-US" w:eastAsia="zh-CN"/>
              </w:rPr>
              <w:t>资料</w:t>
            </w:r>
          </w:p>
        </w:tc>
      </w:tr>
    </w:tbl>
    <w:p>
      <w:pPr>
        <w:spacing w:line="240" w:lineRule="auto"/>
        <w:ind w:firstLine="0" w:firstLineChars="0"/>
        <w:jc w:val="both"/>
      </w:pPr>
      <w:r>
        <w:rPr>
          <w:rFonts w:hint="eastAsia"/>
          <w:b/>
          <w:sz w:val="18"/>
          <w:szCs w:val="18"/>
        </w:rPr>
        <w:t>注：区系：</w:t>
      </w:r>
      <w:r>
        <w:rPr>
          <w:rFonts w:hint="eastAsia"/>
          <w:sz w:val="18"/>
          <w:szCs w:val="18"/>
        </w:rPr>
        <w:t>东-东洋界。</w:t>
      </w:r>
      <w:r>
        <w:rPr>
          <w:rFonts w:hint="eastAsia"/>
          <w:b/>
          <w:sz w:val="18"/>
          <w:szCs w:val="18"/>
        </w:rPr>
        <w:t>分布型：</w:t>
      </w:r>
      <w:r>
        <w:rPr>
          <w:rFonts w:hint="eastAsia"/>
          <w:sz w:val="18"/>
          <w:szCs w:val="18"/>
        </w:rPr>
        <w:t>H-喜马拉雅－横断山区型及云贵高原型。</w:t>
      </w:r>
      <w:r>
        <w:rPr>
          <w:rFonts w:hint="eastAsia"/>
          <w:b/>
          <w:sz w:val="18"/>
          <w:szCs w:val="18"/>
        </w:rPr>
        <w:t>特有：T-</w:t>
      </w:r>
      <w:r>
        <w:rPr>
          <w:rFonts w:hint="eastAsia"/>
          <w:sz w:val="18"/>
          <w:szCs w:val="18"/>
        </w:rPr>
        <w:t>中国特有。</w:t>
      </w:r>
      <w:r>
        <w:rPr>
          <w:rFonts w:hint="eastAsia"/>
          <w:b/>
          <w:sz w:val="18"/>
          <w:szCs w:val="18"/>
        </w:rPr>
        <w:t>数量：</w:t>
      </w:r>
      <w:r>
        <w:rPr>
          <w:rFonts w:hint="eastAsia"/>
          <w:sz w:val="18"/>
          <w:szCs w:val="18"/>
        </w:rPr>
        <w:t xml:space="preserve"> +：稀有种。</w:t>
      </w:r>
    </w:p>
    <w:p>
      <w:r>
        <w:br w:type="page"/>
      </w:r>
    </w:p>
    <w:p>
      <w:pPr>
        <w:ind w:firstLine="0" w:firstLineChars="0"/>
        <w:jc w:val="center"/>
        <w:rPr>
          <w:b/>
          <w:highlight w:val="none"/>
        </w:rPr>
      </w:pPr>
      <w:r>
        <w:rPr>
          <w:rFonts w:hint="eastAsia"/>
          <w:b/>
          <w:highlight w:val="none"/>
        </w:rPr>
        <w:t>d评价区鸟类名录</w:t>
      </w:r>
    </w:p>
    <w:tbl>
      <w:tblPr>
        <w:tblStyle w:val="42"/>
        <w:tblW w:w="4869" w:type="pct"/>
        <w:jc w:val="center"/>
        <w:tblLayout w:type="fixed"/>
        <w:tblCellMar>
          <w:top w:w="0" w:type="dxa"/>
          <w:left w:w="108" w:type="dxa"/>
          <w:bottom w:w="0" w:type="dxa"/>
          <w:right w:w="108" w:type="dxa"/>
        </w:tblCellMar>
      </w:tblPr>
      <w:tblGrid>
        <w:gridCol w:w="1166"/>
        <w:gridCol w:w="1553"/>
        <w:gridCol w:w="2475"/>
        <w:gridCol w:w="686"/>
        <w:gridCol w:w="450"/>
        <w:gridCol w:w="643"/>
        <w:gridCol w:w="686"/>
        <w:gridCol w:w="647"/>
      </w:tblGrid>
      <w:tr>
        <w:tblPrEx>
          <w:tblCellMar>
            <w:top w:w="0" w:type="dxa"/>
            <w:left w:w="108" w:type="dxa"/>
            <w:bottom w:w="0" w:type="dxa"/>
            <w:right w:w="108" w:type="dxa"/>
          </w:tblCellMar>
        </w:tblPrEx>
        <w:trPr>
          <w:trHeight w:val="288" w:hRule="atLeast"/>
          <w:tblHeader/>
          <w:jc w:val="center"/>
        </w:trPr>
        <w:tc>
          <w:tcPr>
            <w:tcW w:w="701" w:type="pct"/>
            <w:tcBorders>
              <w:top w:val="single" w:color="auto" w:sz="4" w:space="0"/>
              <w:left w:val="single" w:color="auto" w:sz="4" w:space="0"/>
              <w:bottom w:val="single" w:color="auto" w:sz="4" w:space="0"/>
              <w:right w:val="single" w:color="auto" w:sz="4" w:space="0"/>
            </w:tcBorders>
            <w:shd w:val="clear" w:color="auto" w:fill="CFCECE" w:themeFill="background2" w:themeFillShade="E5"/>
            <w:noWrap/>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序号</w:t>
            </w:r>
          </w:p>
        </w:tc>
        <w:tc>
          <w:tcPr>
            <w:tcW w:w="934"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种名</w:t>
            </w:r>
          </w:p>
        </w:tc>
        <w:tc>
          <w:tcPr>
            <w:tcW w:w="1489"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拉丁名</w:t>
            </w:r>
          </w:p>
        </w:tc>
        <w:tc>
          <w:tcPr>
            <w:tcW w:w="412"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保护级别</w:t>
            </w:r>
          </w:p>
        </w:tc>
        <w:tc>
          <w:tcPr>
            <w:tcW w:w="270"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区系</w:t>
            </w:r>
          </w:p>
        </w:tc>
        <w:tc>
          <w:tcPr>
            <w:tcW w:w="387"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分布型</w:t>
            </w:r>
          </w:p>
        </w:tc>
        <w:tc>
          <w:tcPr>
            <w:tcW w:w="412"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留居类型</w:t>
            </w:r>
          </w:p>
        </w:tc>
        <w:tc>
          <w:tcPr>
            <w:tcW w:w="389" w:type="pct"/>
            <w:tcBorders>
              <w:top w:val="single" w:color="auto" w:sz="4" w:space="0"/>
              <w:left w:val="nil"/>
              <w:bottom w:val="single" w:color="auto" w:sz="4" w:space="0"/>
              <w:right w:val="single" w:color="auto" w:sz="4" w:space="0"/>
            </w:tcBorders>
            <w:shd w:val="clear" w:color="auto" w:fill="CFCECE" w:themeFill="background2" w:themeFillShade="E5"/>
            <w:noWrap/>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数据</w:t>
            </w:r>
          </w:p>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来源</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E7E6E6" w:themeFill="background2"/>
            <w:noWrap/>
            <w:vAlign w:val="center"/>
          </w:tcPr>
          <w:p>
            <w:pPr>
              <w:widowControl/>
              <w:spacing w:line="240" w:lineRule="auto"/>
              <w:ind w:firstLine="0" w:firstLineChars="0"/>
              <w:jc w:val="both"/>
              <w:rPr>
                <w:rFonts w:cs="Times New Roman"/>
                <w:b/>
                <w:bCs/>
                <w:color w:val="000000"/>
                <w:kern w:val="0"/>
                <w:sz w:val="21"/>
                <w:szCs w:val="21"/>
                <w:highlight w:val="none"/>
              </w:rPr>
            </w:pPr>
            <w:r>
              <w:rPr>
                <w:rFonts w:cs="Times New Roman"/>
                <w:b/>
                <w:bCs/>
                <w:color w:val="000000"/>
                <w:kern w:val="0"/>
                <w:sz w:val="21"/>
                <w:szCs w:val="21"/>
                <w:highlight w:val="none"/>
              </w:rPr>
              <w:t>一</w:t>
            </w:r>
          </w:p>
        </w:tc>
        <w:tc>
          <w:tcPr>
            <w:tcW w:w="934" w:type="pct"/>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rPr>
                <w:rFonts w:cs="Times New Roman"/>
                <w:b/>
                <w:bCs/>
                <w:color w:val="000000"/>
                <w:kern w:val="0"/>
                <w:sz w:val="21"/>
                <w:szCs w:val="21"/>
                <w:highlight w:val="none"/>
              </w:rPr>
            </w:pPr>
            <w:r>
              <w:rPr>
                <w:rFonts w:hint="eastAsia" w:cs="Times New Roman"/>
                <w:b/>
                <w:bCs/>
                <w:color w:val="000000"/>
                <w:kern w:val="0"/>
                <w:sz w:val="21"/>
                <w:szCs w:val="21"/>
                <w:highlight w:val="none"/>
              </w:rPr>
              <w:t>䴙䴘</w:t>
            </w:r>
            <w:r>
              <w:rPr>
                <w:rFonts w:cs="Times New Roman"/>
                <w:b/>
                <w:bCs/>
                <w:color w:val="000000"/>
                <w:kern w:val="0"/>
                <w:sz w:val="21"/>
                <w:szCs w:val="21"/>
                <w:highlight w:val="none"/>
              </w:rPr>
              <w:t>目</w:t>
            </w:r>
          </w:p>
        </w:tc>
        <w:tc>
          <w:tcPr>
            <w:tcW w:w="3363" w:type="pct"/>
            <w:gridSpan w:val="6"/>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jc w:val="left"/>
              <w:rPr>
                <w:rFonts w:cs="Times New Roman"/>
                <w:color w:val="000000"/>
                <w:kern w:val="0"/>
                <w:sz w:val="21"/>
                <w:szCs w:val="21"/>
                <w:highlight w:val="none"/>
              </w:rPr>
            </w:pPr>
            <w:r>
              <w:rPr>
                <w:rFonts w:cs="Times New Roman"/>
                <w:b/>
                <w:bCs/>
                <w:color w:val="000000"/>
                <w:kern w:val="0"/>
                <w:sz w:val="21"/>
                <w:szCs w:val="21"/>
                <w:highlight w:val="none"/>
              </w:rPr>
              <w:t>PODICIPEDIFORMES</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000000"/>
                <w:kern w:val="0"/>
                <w:sz w:val="21"/>
                <w:szCs w:val="21"/>
                <w:highlight w:val="none"/>
              </w:rPr>
            </w:pPr>
            <w:r>
              <w:rPr>
                <w:rFonts w:cs="Times New Roman"/>
                <w:b/>
                <w:bCs/>
                <w:color w:val="000000"/>
                <w:kern w:val="0"/>
                <w:sz w:val="21"/>
                <w:szCs w:val="21"/>
                <w:highlight w:val="none"/>
              </w:rPr>
              <w:t>(一)</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highlight w:val="none"/>
              </w:rPr>
            </w:pPr>
            <w:r>
              <w:rPr>
                <w:rFonts w:hint="eastAsia" w:cs="Times New Roman"/>
                <w:b/>
                <w:bCs/>
                <w:color w:val="000000"/>
                <w:kern w:val="0"/>
                <w:sz w:val="21"/>
                <w:szCs w:val="21"/>
                <w:highlight w:val="none"/>
              </w:rPr>
              <w:t>䴙䴘</w:t>
            </w:r>
            <w:r>
              <w:rPr>
                <w:rFonts w:cs="Times New Roman"/>
                <w:b/>
                <w:bCs/>
                <w:color w:val="000000"/>
                <w:kern w:val="0"/>
                <w:sz w:val="21"/>
                <w:szCs w:val="21"/>
                <w:highlight w:val="none"/>
              </w:rPr>
              <w:t xml:space="preserve">科 </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highlight w:val="none"/>
              </w:rPr>
            </w:pPr>
            <w:r>
              <w:rPr>
                <w:rFonts w:cs="Times New Roman"/>
                <w:b/>
                <w:bCs/>
                <w:color w:val="000000"/>
                <w:kern w:val="0"/>
                <w:sz w:val="21"/>
                <w:szCs w:val="21"/>
                <w:highlight w:val="none"/>
              </w:rPr>
              <w:t>Podicipedidae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000000"/>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1</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hint="eastAsia" w:eastAsia="宋体" w:cs="Times New Roman"/>
                <w:color w:val="000000"/>
                <w:kern w:val="0"/>
                <w:sz w:val="21"/>
                <w:szCs w:val="21"/>
                <w:highlight w:val="none"/>
                <w:lang w:val="en-US" w:eastAsia="zh-CN"/>
              </w:rPr>
            </w:pPr>
            <w:r>
              <w:rPr>
                <w:rFonts w:cs="Times New Roman"/>
                <w:color w:val="000000"/>
                <w:kern w:val="0"/>
                <w:sz w:val="21"/>
                <w:szCs w:val="21"/>
                <w:highlight w:val="none"/>
              </w:rPr>
              <w:t>小</w:t>
            </w:r>
            <w:r>
              <w:rPr>
                <w:rFonts w:hint="eastAsia" w:cs="Times New Roman"/>
                <w:color w:val="000000"/>
                <w:kern w:val="0"/>
                <w:sz w:val="21"/>
                <w:szCs w:val="21"/>
                <w:highlight w:val="none"/>
                <w:lang w:val="en-US" w:eastAsia="zh-CN"/>
              </w:rPr>
              <w:t>䴙䴘</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000000"/>
                <w:kern w:val="0"/>
                <w:sz w:val="21"/>
                <w:szCs w:val="21"/>
                <w:highlight w:val="none"/>
              </w:rPr>
            </w:pPr>
            <w:r>
              <w:rPr>
                <w:rFonts w:cs="Times New Roman"/>
                <w:i/>
                <w:iCs/>
                <w:color w:val="000000"/>
                <w:kern w:val="0"/>
                <w:sz w:val="21"/>
                <w:szCs w:val="21"/>
                <w:highlight w:val="none"/>
              </w:rPr>
              <w:t>Tachybaptus ruficollis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省</w:t>
            </w: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东</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W</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夏</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000000"/>
                <w:kern w:val="0"/>
                <w:sz w:val="21"/>
                <w:szCs w:val="21"/>
                <w:highlight w:val="none"/>
                <w:lang w:eastAsia="zh-CN"/>
              </w:rPr>
            </w:pPr>
            <w:r>
              <w:rPr>
                <w:rFonts w:hint="eastAsia"/>
                <w:kern w:val="0"/>
                <w:sz w:val="21"/>
                <w:szCs w:val="21"/>
                <w:highlight w:val="none"/>
                <w:lang w:val="en-US" w:eastAsia="zh-CN"/>
              </w:rPr>
              <w:t>资料</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E7E6E6" w:themeFill="background2"/>
            <w:noWrap/>
            <w:vAlign w:val="center"/>
          </w:tcPr>
          <w:p>
            <w:pPr>
              <w:widowControl/>
              <w:spacing w:line="240" w:lineRule="auto"/>
              <w:ind w:firstLine="0" w:firstLineChars="0"/>
              <w:jc w:val="both"/>
              <w:rPr>
                <w:rFonts w:cs="Times New Roman"/>
                <w:b/>
                <w:bCs/>
                <w:color w:val="000000"/>
                <w:kern w:val="0"/>
                <w:sz w:val="21"/>
                <w:szCs w:val="21"/>
                <w:highlight w:val="none"/>
              </w:rPr>
            </w:pPr>
            <w:r>
              <w:rPr>
                <w:rFonts w:cs="Times New Roman"/>
                <w:b/>
                <w:bCs/>
                <w:color w:val="000000"/>
                <w:kern w:val="0"/>
                <w:sz w:val="21"/>
                <w:szCs w:val="21"/>
                <w:highlight w:val="none"/>
              </w:rPr>
              <w:t>二</w:t>
            </w:r>
          </w:p>
        </w:tc>
        <w:tc>
          <w:tcPr>
            <w:tcW w:w="934" w:type="pct"/>
            <w:tcBorders>
              <w:top w:val="nil"/>
              <w:left w:val="nil"/>
              <w:bottom w:val="single" w:color="auto" w:sz="4" w:space="0"/>
              <w:right w:val="single" w:color="auto" w:sz="4" w:space="0"/>
            </w:tcBorders>
            <w:shd w:val="clear" w:color="auto" w:fill="E7E6E6" w:themeFill="background2"/>
            <w:noWrap/>
            <w:vAlign w:val="bottom"/>
          </w:tcPr>
          <w:p>
            <w:pPr>
              <w:widowControl/>
              <w:spacing w:line="240" w:lineRule="auto"/>
              <w:ind w:firstLine="0" w:firstLineChars="0"/>
              <w:rPr>
                <w:rFonts w:cs="Times New Roman"/>
                <w:b/>
                <w:bCs/>
                <w:kern w:val="0"/>
                <w:sz w:val="21"/>
                <w:szCs w:val="21"/>
                <w:highlight w:val="none"/>
              </w:rPr>
            </w:pPr>
            <w:r>
              <w:rPr>
                <w:rFonts w:cs="Times New Roman"/>
                <w:b/>
                <w:bCs/>
                <w:kern w:val="0"/>
                <w:sz w:val="21"/>
                <w:szCs w:val="21"/>
                <w:highlight w:val="none"/>
              </w:rPr>
              <w:t>鹈形目</w:t>
            </w:r>
          </w:p>
        </w:tc>
        <w:tc>
          <w:tcPr>
            <w:tcW w:w="3363" w:type="pct"/>
            <w:gridSpan w:val="6"/>
            <w:tcBorders>
              <w:top w:val="nil"/>
              <w:left w:val="nil"/>
              <w:bottom w:val="single" w:color="auto" w:sz="4" w:space="0"/>
              <w:right w:val="single" w:color="auto" w:sz="4" w:space="0"/>
            </w:tcBorders>
            <w:shd w:val="clear" w:color="auto" w:fill="E7E6E6" w:themeFill="background2"/>
            <w:noWrap/>
            <w:vAlign w:val="bottom"/>
          </w:tcPr>
          <w:p>
            <w:pPr>
              <w:widowControl/>
              <w:spacing w:line="240" w:lineRule="auto"/>
              <w:ind w:firstLine="0" w:firstLineChars="0"/>
              <w:jc w:val="left"/>
              <w:rPr>
                <w:rFonts w:cs="Times New Roman"/>
                <w:color w:val="000000"/>
                <w:kern w:val="0"/>
                <w:sz w:val="21"/>
                <w:szCs w:val="21"/>
                <w:highlight w:val="none"/>
              </w:rPr>
            </w:pPr>
            <w:r>
              <w:rPr>
                <w:rFonts w:cs="Times New Roman"/>
                <w:b/>
                <w:bCs/>
                <w:kern w:val="0"/>
                <w:sz w:val="21"/>
                <w:szCs w:val="21"/>
                <w:highlight w:val="none"/>
              </w:rPr>
              <w:t>PELECANIFORMES</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000000"/>
                <w:kern w:val="0"/>
                <w:sz w:val="21"/>
                <w:szCs w:val="21"/>
                <w:highlight w:val="none"/>
              </w:rPr>
            </w:pPr>
            <w:r>
              <w:rPr>
                <w:rFonts w:cs="Times New Roman"/>
                <w:b/>
                <w:bCs/>
                <w:color w:val="000000"/>
                <w:kern w:val="0"/>
                <w:sz w:val="21"/>
                <w:szCs w:val="21"/>
                <w:highlight w:val="none"/>
              </w:rPr>
              <w:t>(二)</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highlight w:val="none"/>
              </w:rPr>
            </w:pPr>
            <w:r>
              <w:rPr>
                <w:rFonts w:cs="Times New Roman"/>
                <w:b/>
                <w:bCs/>
                <w:color w:val="000000"/>
                <w:kern w:val="0"/>
                <w:sz w:val="21"/>
                <w:szCs w:val="21"/>
                <w:highlight w:val="none"/>
              </w:rPr>
              <w:t>鹭科</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highlight w:val="none"/>
              </w:rPr>
            </w:pPr>
            <w:r>
              <w:rPr>
                <w:rFonts w:cs="Times New Roman"/>
                <w:b/>
                <w:bCs/>
                <w:color w:val="000000"/>
                <w:kern w:val="0"/>
                <w:sz w:val="21"/>
                <w:szCs w:val="21"/>
                <w:highlight w:val="none"/>
              </w:rPr>
              <w:t>Ardeidae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000000"/>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2</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highlight w:val="none"/>
              </w:rPr>
            </w:pPr>
            <w:r>
              <w:rPr>
                <w:rFonts w:cs="Times New Roman"/>
                <w:color w:val="000000"/>
                <w:kern w:val="0"/>
                <w:sz w:val="21"/>
                <w:szCs w:val="21"/>
                <w:highlight w:val="none"/>
              </w:rPr>
              <w:t>池鹭</w:t>
            </w:r>
            <w:r>
              <w:rPr>
                <w:rFonts w:cs="Times New Roman"/>
                <w:i/>
                <w:iCs/>
                <w:color w:val="000000"/>
                <w:kern w:val="0"/>
                <w:sz w:val="21"/>
                <w:szCs w:val="21"/>
                <w:highlight w:val="none"/>
              </w:rPr>
              <w:t xml:space="preserve"> </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000000"/>
                <w:kern w:val="0"/>
                <w:sz w:val="21"/>
                <w:szCs w:val="21"/>
                <w:highlight w:val="none"/>
              </w:rPr>
            </w:pPr>
            <w:r>
              <w:rPr>
                <w:rFonts w:cs="Times New Roman"/>
                <w:i/>
                <w:iCs/>
                <w:color w:val="000000"/>
                <w:kern w:val="0"/>
                <w:sz w:val="21"/>
                <w:szCs w:val="21"/>
                <w:highlight w:val="none"/>
              </w:rPr>
              <w:t>Ardeola bacchus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东</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W</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夏</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hint="eastAsia"/>
                <w:kern w:val="0"/>
                <w:sz w:val="21"/>
                <w:szCs w:val="21"/>
                <w:highlight w:val="none"/>
                <w:lang w:val="en-US" w:eastAsia="zh-CN"/>
              </w:rPr>
              <w:t>资料</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E7E6E6" w:themeFill="background2"/>
            <w:noWrap/>
            <w:vAlign w:val="center"/>
          </w:tcPr>
          <w:p>
            <w:pPr>
              <w:widowControl/>
              <w:spacing w:line="240" w:lineRule="auto"/>
              <w:ind w:firstLine="0" w:firstLineChars="0"/>
              <w:jc w:val="both"/>
              <w:rPr>
                <w:rFonts w:cs="Times New Roman"/>
                <w:b/>
                <w:bCs/>
                <w:color w:val="000000"/>
                <w:kern w:val="0"/>
                <w:sz w:val="21"/>
                <w:szCs w:val="21"/>
                <w:highlight w:val="none"/>
              </w:rPr>
            </w:pPr>
            <w:r>
              <w:rPr>
                <w:rFonts w:cs="Times New Roman"/>
                <w:b/>
                <w:bCs/>
                <w:color w:val="000000"/>
                <w:kern w:val="0"/>
                <w:sz w:val="21"/>
                <w:szCs w:val="21"/>
                <w:highlight w:val="none"/>
              </w:rPr>
              <w:t>三</w:t>
            </w:r>
          </w:p>
        </w:tc>
        <w:tc>
          <w:tcPr>
            <w:tcW w:w="934" w:type="pct"/>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rPr>
                <w:rFonts w:cs="Times New Roman"/>
                <w:b/>
                <w:bCs/>
                <w:color w:val="000000"/>
                <w:kern w:val="0"/>
                <w:sz w:val="21"/>
                <w:szCs w:val="21"/>
                <w:highlight w:val="none"/>
              </w:rPr>
            </w:pPr>
            <w:r>
              <w:rPr>
                <w:rFonts w:cs="Times New Roman"/>
                <w:b/>
                <w:bCs/>
                <w:color w:val="000000"/>
                <w:kern w:val="0"/>
                <w:sz w:val="21"/>
                <w:szCs w:val="21"/>
                <w:highlight w:val="none"/>
              </w:rPr>
              <w:t>雁形目</w:t>
            </w:r>
          </w:p>
        </w:tc>
        <w:tc>
          <w:tcPr>
            <w:tcW w:w="3363" w:type="pct"/>
            <w:gridSpan w:val="6"/>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jc w:val="left"/>
              <w:rPr>
                <w:rFonts w:cs="Times New Roman"/>
                <w:color w:val="000000"/>
                <w:kern w:val="0"/>
                <w:sz w:val="21"/>
                <w:szCs w:val="21"/>
                <w:highlight w:val="none"/>
              </w:rPr>
            </w:pPr>
            <w:r>
              <w:rPr>
                <w:rFonts w:cs="Times New Roman"/>
                <w:b/>
                <w:bCs/>
                <w:color w:val="000000"/>
                <w:kern w:val="0"/>
                <w:sz w:val="21"/>
                <w:szCs w:val="21"/>
                <w:highlight w:val="none"/>
              </w:rPr>
              <w:t>ANSERIFORMES</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000000"/>
                <w:kern w:val="0"/>
                <w:sz w:val="21"/>
                <w:szCs w:val="21"/>
                <w:highlight w:val="none"/>
              </w:rPr>
            </w:pPr>
            <w:r>
              <w:rPr>
                <w:rFonts w:cs="Times New Roman"/>
                <w:b/>
                <w:bCs/>
                <w:color w:val="000000"/>
                <w:kern w:val="0"/>
                <w:sz w:val="21"/>
                <w:szCs w:val="21"/>
                <w:highlight w:val="none"/>
              </w:rPr>
              <w:t>(三)</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highlight w:val="none"/>
              </w:rPr>
            </w:pPr>
            <w:r>
              <w:rPr>
                <w:rFonts w:cs="Times New Roman"/>
                <w:b/>
                <w:bCs/>
                <w:color w:val="000000"/>
                <w:kern w:val="0"/>
                <w:sz w:val="21"/>
                <w:szCs w:val="21"/>
                <w:highlight w:val="none"/>
              </w:rPr>
              <w:t>鸭科</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highlight w:val="none"/>
              </w:rPr>
            </w:pPr>
            <w:r>
              <w:rPr>
                <w:rFonts w:cs="Times New Roman"/>
                <w:b/>
                <w:bCs/>
                <w:color w:val="000000"/>
                <w:kern w:val="0"/>
                <w:sz w:val="21"/>
                <w:szCs w:val="21"/>
                <w:highlight w:val="none"/>
              </w:rPr>
              <w:t>Anatidae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000000"/>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3</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highlight w:val="none"/>
              </w:rPr>
            </w:pPr>
            <w:r>
              <w:rPr>
                <w:rFonts w:cs="Times New Roman"/>
                <w:color w:val="000000"/>
                <w:kern w:val="0"/>
                <w:sz w:val="21"/>
                <w:szCs w:val="21"/>
                <w:highlight w:val="none"/>
              </w:rPr>
              <w:t xml:space="preserve">斑头雁 </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000000"/>
                <w:kern w:val="0"/>
                <w:sz w:val="21"/>
                <w:szCs w:val="21"/>
                <w:highlight w:val="none"/>
              </w:rPr>
            </w:pPr>
            <w:r>
              <w:rPr>
                <w:rFonts w:hint="eastAsia" w:cs="Times New Roman"/>
                <w:i/>
                <w:iCs/>
                <w:color w:val="000000"/>
                <w:kern w:val="0"/>
                <w:sz w:val="21"/>
                <w:szCs w:val="21"/>
                <w:highlight w:val="none"/>
              </w:rPr>
              <w:t>Anser</w:t>
            </w:r>
            <w:r>
              <w:rPr>
                <w:rFonts w:cs="Times New Roman"/>
                <w:i/>
                <w:iCs/>
                <w:color w:val="000000"/>
                <w:kern w:val="0"/>
                <w:sz w:val="21"/>
                <w:szCs w:val="21"/>
                <w:highlight w:val="none"/>
              </w:rPr>
              <w:t xml:space="preserve"> indicus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P</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夏</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hint="eastAsia"/>
                <w:kern w:val="0"/>
                <w:sz w:val="21"/>
                <w:szCs w:val="21"/>
                <w:highlight w:val="none"/>
                <w:lang w:val="en-US" w:eastAsia="zh-CN"/>
              </w:rPr>
              <w:t>资料</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4</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highlight w:val="none"/>
              </w:rPr>
            </w:pPr>
            <w:r>
              <w:rPr>
                <w:rFonts w:cs="Times New Roman"/>
                <w:color w:val="000000"/>
                <w:kern w:val="0"/>
                <w:sz w:val="21"/>
                <w:szCs w:val="21"/>
                <w:highlight w:val="none"/>
              </w:rPr>
              <w:t>赤麻鸭</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000000"/>
                <w:kern w:val="0"/>
                <w:sz w:val="21"/>
                <w:szCs w:val="21"/>
                <w:highlight w:val="none"/>
              </w:rPr>
            </w:pPr>
            <w:r>
              <w:rPr>
                <w:rFonts w:cs="Times New Roman"/>
                <w:i/>
                <w:iCs/>
                <w:color w:val="000000"/>
                <w:kern w:val="0"/>
                <w:sz w:val="21"/>
                <w:szCs w:val="21"/>
                <w:highlight w:val="none"/>
              </w:rPr>
              <w:t>Tadorna ferruginea</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U</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夏</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000000"/>
                <w:kern w:val="0"/>
                <w:sz w:val="21"/>
                <w:szCs w:val="21"/>
                <w:highlight w:val="none"/>
                <w:lang w:eastAsia="zh-CN"/>
              </w:rPr>
            </w:pPr>
            <w:r>
              <w:rPr>
                <w:rFonts w:hint="eastAsia"/>
                <w:kern w:val="0"/>
                <w:sz w:val="21"/>
                <w:szCs w:val="21"/>
                <w:highlight w:val="none"/>
                <w:lang w:val="en-US" w:eastAsia="zh-CN"/>
              </w:rPr>
              <w:t>资料</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5</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highlight w:val="none"/>
              </w:rPr>
            </w:pPr>
            <w:r>
              <w:rPr>
                <w:rFonts w:cs="Times New Roman"/>
                <w:color w:val="000000"/>
                <w:kern w:val="0"/>
                <w:sz w:val="21"/>
                <w:szCs w:val="21"/>
                <w:highlight w:val="none"/>
              </w:rPr>
              <w:t>绿头鸭</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000000"/>
                <w:kern w:val="0"/>
                <w:sz w:val="21"/>
                <w:szCs w:val="21"/>
                <w:highlight w:val="none"/>
              </w:rPr>
            </w:pPr>
            <w:r>
              <w:rPr>
                <w:rFonts w:cs="Times New Roman"/>
                <w:i/>
                <w:iCs/>
                <w:color w:val="000000"/>
                <w:kern w:val="0"/>
                <w:sz w:val="21"/>
                <w:szCs w:val="21"/>
                <w:highlight w:val="none"/>
              </w:rPr>
              <w:t>Anas platyrhynchos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C</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冬</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000000"/>
                <w:kern w:val="0"/>
                <w:sz w:val="21"/>
                <w:szCs w:val="21"/>
                <w:highlight w:val="none"/>
                <w:lang w:eastAsia="zh-CN"/>
              </w:rPr>
            </w:pPr>
            <w:r>
              <w:rPr>
                <w:rFonts w:hint="eastAsia" w:cs="Times New Roman"/>
                <w:color w:val="000000"/>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6</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highlight w:val="none"/>
              </w:rPr>
            </w:pPr>
            <w:r>
              <w:rPr>
                <w:rFonts w:cs="Times New Roman"/>
                <w:color w:val="000000"/>
                <w:kern w:val="0"/>
                <w:sz w:val="21"/>
                <w:szCs w:val="21"/>
                <w:highlight w:val="none"/>
              </w:rPr>
              <w:t xml:space="preserve">斑嘴鸭 </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000000"/>
                <w:kern w:val="0"/>
                <w:sz w:val="21"/>
                <w:szCs w:val="21"/>
                <w:highlight w:val="none"/>
              </w:rPr>
            </w:pPr>
            <w:r>
              <w:rPr>
                <w:rFonts w:cs="Times New Roman"/>
                <w:i/>
                <w:iCs/>
                <w:color w:val="000000"/>
                <w:kern w:val="0"/>
                <w:sz w:val="21"/>
                <w:szCs w:val="21"/>
                <w:highlight w:val="none"/>
              </w:rPr>
              <w:t>A. poecilorhyncha</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东</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W</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冬</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000000"/>
                <w:kern w:val="0"/>
                <w:sz w:val="21"/>
                <w:szCs w:val="21"/>
                <w:highlight w:val="none"/>
                <w:lang w:eastAsia="zh-CN"/>
              </w:rPr>
            </w:pPr>
            <w:r>
              <w:rPr>
                <w:rFonts w:hint="eastAsia" w:cs="Times New Roman"/>
                <w:color w:val="000000"/>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7</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highlight w:val="none"/>
              </w:rPr>
            </w:pPr>
            <w:r>
              <w:rPr>
                <w:rFonts w:cs="Times New Roman"/>
                <w:color w:val="000000"/>
                <w:kern w:val="0"/>
                <w:sz w:val="21"/>
                <w:szCs w:val="21"/>
                <w:highlight w:val="none"/>
              </w:rPr>
              <w:t>绿翅鸭</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000000"/>
                <w:kern w:val="0"/>
                <w:sz w:val="21"/>
                <w:szCs w:val="21"/>
                <w:highlight w:val="none"/>
              </w:rPr>
            </w:pPr>
            <w:r>
              <w:rPr>
                <w:rFonts w:cs="Times New Roman"/>
                <w:i/>
                <w:iCs/>
                <w:color w:val="000000"/>
                <w:kern w:val="0"/>
                <w:sz w:val="21"/>
                <w:szCs w:val="21"/>
                <w:highlight w:val="none"/>
              </w:rPr>
              <w:t>A. crecca</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C</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冬</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000000"/>
                <w:kern w:val="0"/>
                <w:sz w:val="21"/>
                <w:szCs w:val="21"/>
                <w:highlight w:val="none"/>
                <w:lang w:eastAsia="zh-CN"/>
              </w:rPr>
            </w:pPr>
            <w:r>
              <w:rPr>
                <w:rFonts w:hint="eastAsia" w:cs="Times New Roman"/>
                <w:color w:val="000000"/>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8</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highlight w:val="none"/>
              </w:rPr>
            </w:pPr>
            <w:r>
              <w:rPr>
                <w:rFonts w:cs="Times New Roman"/>
                <w:color w:val="000000"/>
                <w:kern w:val="0"/>
                <w:sz w:val="21"/>
                <w:szCs w:val="21"/>
                <w:highlight w:val="none"/>
              </w:rPr>
              <w:t>普通秋沙鸭</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000000"/>
                <w:kern w:val="0"/>
                <w:sz w:val="21"/>
                <w:szCs w:val="21"/>
                <w:highlight w:val="none"/>
              </w:rPr>
            </w:pPr>
            <w:r>
              <w:rPr>
                <w:rFonts w:cs="Times New Roman"/>
                <w:i/>
                <w:iCs/>
                <w:color w:val="000000"/>
                <w:kern w:val="0"/>
                <w:sz w:val="21"/>
                <w:szCs w:val="21"/>
                <w:highlight w:val="none"/>
              </w:rPr>
              <w:t>Mergus merganser</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C</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highlight w:val="none"/>
              </w:rPr>
            </w:pPr>
            <w:r>
              <w:rPr>
                <w:rFonts w:cs="Times New Roman"/>
                <w:color w:val="000000"/>
                <w:kern w:val="0"/>
                <w:sz w:val="21"/>
                <w:szCs w:val="21"/>
                <w:highlight w:val="none"/>
              </w:rPr>
              <w:t>夏</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000000"/>
                <w:kern w:val="0"/>
                <w:sz w:val="21"/>
                <w:szCs w:val="21"/>
                <w:highlight w:val="none"/>
                <w:lang w:eastAsia="zh-CN"/>
              </w:rPr>
            </w:pPr>
            <w:r>
              <w:rPr>
                <w:rFonts w:hint="eastAsia"/>
                <w:kern w:val="0"/>
                <w:sz w:val="21"/>
                <w:szCs w:val="21"/>
                <w:highlight w:val="none"/>
                <w:lang w:val="en-US" w:eastAsia="zh-CN"/>
              </w:rPr>
              <w:t>资料</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E7E6E6" w:themeFill="background2"/>
            <w:noWrap/>
            <w:vAlign w:val="center"/>
          </w:tcPr>
          <w:p>
            <w:pPr>
              <w:widowControl/>
              <w:spacing w:line="240" w:lineRule="auto"/>
              <w:ind w:firstLine="0" w:firstLineChars="0"/>
              <w:jc w:val="both"/>
              <w:rPr>
                <w:rFonts w:cs="Times New Roman"/>
                <w:b/>
                <w:bCs/>
                <w:color w:val="auto"/>
                <w:kern w:val="0"/>
                <w:sz w:val="21"/>
                <w:szCs w:val="21"/>
                <w:highlight w:val="none"/>
              </w:rPr>
            </w:pPr>
            <w:r>
              <w:rPr>
                <w:rFonts w:cs="Times New Roman"/>
                <w:b/>
                <w:bCs/>
                <w:color w:val="auto"/>
                <w:kern w:val="0"/>
                <w:sz w:val="21"/>
                <w:szCs w:val="21"/>
                <w:highlight w:val="none"/>
              </w:rPr>
              <w:t>四</w:t>
            </w:r>
          </w:p>
        </w:tc>
        <w:tc>
          <w:tcPr>
            <w:tcW w:w="934" w:type="pct"/>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rPr>
                <w:rFonts w:cs="Times New Roman"/>
                <w:b/>
                <w:bCs/>
                <w:color w:val="auto"/>
                <w:kern w:val="0"/>
                <w:sz w:val="21"/>
                <w:szCs w:val="21"/>
                <w:highlight w:val="none"/>
              </w:rPr>
            </w:pPr>
            <w:r>
              <w:rPr>
                <w:rFonts w:hint="eastAsia" w:cs="Times New Roman"/>
                <w:b/>
                <w:bCs/>
                <w:color w:val="auto"/>
                <w:kern w:val="0"/>
                <w:sz w:val="21"/>
                <w:szCs w:val="21"/>
                <w:highlight w:val="none"/>
                <w:lang w:val="en-US" w:eastAsia="zh-CN"/>
              </w:rPr>
              <w:t>鹰</w:t>
            </w:r>
            <w:r>
              <w:rPr>
                <w:rFonts w:cs="Times New Roman"/>
                <w:b/>
                <w:bCs/>
                <w:color w:val="auto"/>
                <w:kern w:val="0"/>
                <w:sz w:val="21"/>
                <w:szCs w:val="21"/>
                <w:highlight w:val="none"/>
              </w:rPr>
              <w:t>形目</w:t>
            </w:r>
          </w:p>
        </w:tc>
        <w:tc>
          <w:tcPr>
            <w:tcW w:w="3363" w:type="pct"/>
            <w:gridSpan w:val="6"/>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jc w:val="left"/>
              <w:rPr>
                <w:rFonts w:cs="Times New Roman"/>
                <w:color w:val="auto"/>
                <w:kern w:val="0"/>
                <w:sz w:val="21"/>
                <w:szCs w:val="21"/>
                <w:highlight w:val="none"/>
              </w:rPr>
            </w:pPr>
            <w:r>
              <w:rPr>
                <w:rFonts w:hint="eastAsia" w:cs="Times New Roman"/>
                <w:b/>
                <w:bCs/>
                <w:color w:val="auto"/>
                <w:kern w:val="0"/>
                <w:sz w:val="21"/>
                <w:szCs w:val="21"/>
                <w:highlight w:val="none"/>
                <w:lang w:val="en-US" w:eastAsia="zh-CN"/>
              </w:rPr>
              <w:t>ACCIPITRIFORMES</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(四)</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鹰科</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Accipitridae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9</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大鵟</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hint="eastAsia" w:cs="Times New Roman"/>
                <w:i/>
                <w:iCs/>
                <w:color w:val="auto"/>
                <w:kern w:val="0"/>
                <w:sz w:val="21"/>
                <w:szCs w:val="21"/>
                <w:highlight w:val="none"/>
              </w:rPr>
              <w:t>Buteo</w:t>
            </w:r>
            <w:r>
              <w:rPr>
                <w:rFonts w:cs="Times New Roman"/>
                <w:i/>
                <w:iCs/>
                <w:color w:val="auto"/>
                <w:kern w:val="0"/>
                <w:sz w:val="21"/>
                <w:szCs w:val="21"/>
                <w:highlight w:val="none"/>
              </w:rPr>
              <w:t xml:space="preserve"> hemilasius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Ⅱ</w:t>
            </w: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D</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10</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高山兀鹫</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Gyps himalayensis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Ⅱ</w:t>
            </w: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广</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O</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11</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胡兀鹫</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Gypaetus barbatus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Ⅰ</w:t>
            </w: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广</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O</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E7E6E6" w:themeFill="background2"/>
            <w:noWrap/>
            <w:vAlign w:val="center"/>
          </w:tcPr>
          <w:p>
            <w:pPr>
              <w:widowControl/>
              <w:spacing w:line="240" w:lineRule="auto"/>
              <w:ind w:firstLine="0" w:firstLineChars="0"/>
              <w:jc w:val="both"/>
              <w:rPr>
                <w:rFonts w:cs="Times New Roman"/>
                <w:b/>
                <w:bCs/>
                <w:color w:val="auto"/>
                <w:kern w:val="0"/>
                <w:sz w:val="21"/>
                <w:szCs w:val="21"/>
                <w:highlight w:val="none"/>
              </w:rPr>
            </w:pPr>
            <w:r>
              <w:rPr>
                <w:rFonts w:cs="Times New Roman"/>
                <w:b/>
                <w:bCs/>
                <w:color w:val="auto"/>
                <w:kern w:val="0"/>
                <w:sz w:val="21"/>
                <w:szCs w:val="21"/>
                <w:highlight w:val="none"/>
              </w:rPr>
              <w:t>五</w:t>
            </w:r>
          </w:p>
        </w:tc>
        <w:tc>
          <w:tcPr>
            <w:tcW w:w="934" w:type="pct"/>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鸡形目</w:t>
            </w:r>
          </w:p>
        </w:tc>
        <w:tc>
          <w:tcPr>
            <w:tcW w:w="3363" w:type="pct"/>
            <w:gridSpan w:val="6"/>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jc w:val="left"/>
              <w:rPr>
                <w:rFonts w:cs="Times New Roman"/>
                <w:color w:val="auto"/>
                <w:kern w:val="0"/>
                <w:sz w:val="21"/>
                <w:szCs w:val="21"/>
                <w:highlight w:val="none"/>
              </w:rPr>
            </w:pPr>
            <w:r>
              <w:rPr>
                <w:rFonts w:cs="Times New Roman"/>
                <w:b/>
                <w:bCs/>
                <w:color w:val="auto"/>
                <w:kern w:val="0"/>
                <w:sz w:val="21"/>
                <w:szCs w:val="21"/>
                <w:highlight w:val="none"/>
              </w:rPr>
              <w:t>GALLIFORMES</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(五)</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 xml:space="preserve">雉科 </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Phasianidae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12</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雪鹑</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Lerwa lerwa</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东</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H</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13</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藏雪鸡</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Tetraogallus tibetanus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Ⅱ</w:t>
            </w: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P</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14</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高原山鹑</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Perdix hodgsoniae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东</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H</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1</w:t>
            </w:r>
            <w:r>
              <w:rPr>
                <w:rFonts w:hint="eastAsia" w:cs="Times New Roman"/>
                <w:color w:val="auto"/>
                <w:kern w:val="0"/>
                <w:sz w:val="21"/>
                <w:szCs w:val="21"/>
                <w:highlight w:val="none"/>
                <w:lang w:val="en-US" w:eastAsia="zh-CN"/>
              </w:rPr>
              <w:t>5</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蓝马鸡</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Crossoptilon auritum</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Ⅱ</w:t>
            </w: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东</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H</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1</w:t>
            </w:r>
            <w:r>
              <w:rPr>
                <w:rFonts w:hint="eastAsia" w:cs="Times New Roman"/>
                <w:color w:val="auto"/>
                <w:kern w:val="0"/>
                <w:sz w:val="21"/>
                <w:szCs w:val="21"/>
                <w:highlight w:val="none"/>
                <w:lang w:val="en-US" w:eastAsia="zh-CN"/>
              </w:rPr>
              <w:t>6</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雉鸡</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Phasianus colchicus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广</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O</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E7E6E6" w:themeFill="background2"/>
            <w:noWrap/>
            <w:vAlign w:val="center"/>
          </w:tcPr>
          <w:p>
            <w:pPr>
              <w:widowControl/>
              <w:spacing w:line="240" w:lineRule="auto"/>
              <w:ind w:firstLine="0" w:firstLineChars="0"/>
              <w:jc w:val="both"/>
              <w:rPr>
                <w:rFonts w:cs="Times New Roman"/>
                <w:b/>
                <w:bCs/>
                <w:color w:val="auto"/>
                <w:kern w:val="0"/>
                <w:sz w:val="21"/>
                <w:szCs w:val="21"/>
                <w:highlight w:val="none"/>
              </w:rPr>
            </w:pPr>
            <w:r>
              <w:rPr>
                <w:rFonts w:cs="Times New Roman"/>
                <w:b/>
                <w:bCs/>
                <w:color w:val="auto"/>
                <w:kern w:val="0"/>
                <w:sz w:val="21"/>
                <w:szCs w:val="21"/>
                <w:highlight w:val="none"/>
              </w:rPr>
              <w:t>六</w:t>
            </w:r>
          </w:p>
        </w:tc>
        <w:tc>
          <w:tcPr>
            <w:tcW w:w="934" w:type="pct"/>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鹤形目</w:t>
            </w:r>
          </w:p>
        </w:tc>
        <w:tc>
          <w:tcPr>
            <w:tcW w:w="3363" w:type="pct"/>
            <w:gridSpan w:val="6"/>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jc w:val="left"/>
              <w:rPr>
                <w:rFonts w:cs="Times New Roman"/>
                <w:color w:val="auto"/>
                <w:kern w:val="0"/>
                <w:sz w:val="21"/>
                <w:szCs w:val="21"/>
                <w:highlight w:val="none"/>
              </w:rPr>
            </w:pPr>
            <w:r>
              <w:rPr>
                <w:rFonts w:cs="Times New Roman"/>
                <w:b/>
                <w:bCs/>
                <w:color w:val="auto"/>
                <w:kern w:val="0"/>
                <w:sz w:val="21"/>
                <w:szCs w:val="21"/>
                <w:highlight w:val="none"/>
              </w:rPr>
              <w:t>GRUIFORMES</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(六)</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秧鸡科</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Rallidae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1</w:t>
            </w:r>
            <w:r>
              <w:rPr>
                <w:rFonts w:hint="eastAsia" w:cs="Times New Roman"/>
                <w:color w:val="auto"/>
                <w:kern w:val="0"/>
                <w:sz w:val="21"/>
                <w:szCs w:val="21"/>
                <w:highlight w:val="none"/>
                <w:lang w:val="en-US" w:eastAsia="zh-CN"/>
              </w:rPr>
              <w:t>7</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骨顶鸡</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Fulica atra</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广</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O</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夏</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E7E6E6" w:themeFill="background2"/>
            <w:noWrap/>
            <w:vAlign w:val="center"/>
          </w:tcPr>
          <w:p>
            <w:pPr>
              <w:widowControl/>
              <w:spacing w:line="240" w:lineRule="auto"/>
              <w:ind w:firstLine="0" w:firstLineChars="0"/>
              <w:jc w:val="both"/>
              <w:rPr>
                <w:rFonts w:cs="Times New Roman"/>
                <w:b/>
                <w:bCs/>
                <w:color w:val="auto"/>
                <w:kern w:val="0"/>
                <w:sz w:val="21"/>
                <w:szCs w:val="21"/>
                <w:highlight w:val="none"/>
              </w:rPr>
            </w:pPr>
            <w:r>
              <w:rPr>
                <w:rFonts w:cs="Times New Roman"/>
                <w:b/>
                <w:bCs/>
                <w:color w:val="auto"/>
                <w:kern w:val="0"/>
                <w:sz w:val="21"/>
                <w:szCs w:val="21"/>
                <w:highlight w:val="none"/>
              </w:rPr>
              <w:t>七</w:t>
            </w:r>
          </w:p>
        </w:tc>
        <w:tc>
          <w:tcPr>
            <w:tcW w:w="934" w:type="pct"/>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 xml:space="preserve">鸻形目  </w:t>
            </w:r>
          </w:p>
        </w:tc>
        <w:tc>
          <w:tcPr>
            <w:tcW w:w="3363" w:type="pct"/>
            <w:gridSpan w:val="6"/>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jc w:val="left"/>
              <w:rPr>
                <w:rFonts w:cs="Times New Roman"/>
                <w:color w:val="auto"/>
                <w:kern w:val="0"/>
                <w:sz w:val="21"/>
                <w:szCs w:val="21"/>
                <w:highlight w:val="none"/>
              </w:rPr>
            </w:pPr>
            <w:r>
              <w:rPr>
                <w:rFonts w:cs="Times New Roman"/>
                <w:b/>
                <w:bCs/>
                <w:color w:val="auto"/>
                <w:kern w:val="0"/>
                <w:sz w:val="21"/>
                <w:szCs w:val="21"/>
                <w:highlight w:val="none"/>
              </w:rPr>
              <w:t>CHARADRIIFORMES</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(七)</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鸻科</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Charadriidae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1</w:t>
            </w:r>
            <w:r>
              <w:rPr>
                <w:rFonts w:hint="eastAsia" w:cs="Times New Roman"/>
                <w:color w:val="auto"/>
                <w:kern w:val="0"/>
                <w:sz w:val="21"/>
                <w:szCs w:val="21"/>
                <w:highlight w:val="none"/>
                <w:lang w:val="en-US" w:eastAsia="zh-CN"/>
              </w:rPr>
              <w:t>8</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长嘴剑</w:t>
            </w:r>
            <w:r>
              <w:rPr>
                <w:rFonts w:hint="eastAsia" w:cs="Times New Roman"/>
                <w:color w:val="auto"/>
                <w:kern w:val="0"/>
                <w:sz w:val="21"/>
                <w:szCs w:val="21"/>
                <w:highlight w:val="none"/>
              </w:rPr>
              <w:t>鸻</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hint="eastAsia" w:cs="Times New Roman"/>
                <w:i/>
                <w:iCs/>
                <w:color w:val="auto"/>
                <w:kern w:val="0"/>
                <w:sz w:val="21"/>
                <w:szCs w:val="21"/>
                <w:highlight w:val="none"/>
              </w:rPr>
              <w:t>Charadrius</w:t>
            </w:r>
            <w:r>
              <w:rPr>
                <w:rFonts w:cs="Times New Roman"/>
                <w:i/>
                <w:iCs/>
                <w:color w:val="auto"/>
                <w:kern w:val="0"/>
                <w:sz w:val="21"/>
                <w:szCs w:val="21"/>
                <w:highlight w:val="none"/>
              </w:rPr>
              <w:t xml:space="preserve"> Placidus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C</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夏</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(八)</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丘鹬科</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Scolopacidae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19</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红脚鹬</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Tringa totanus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U</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夏</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2</w:t>
            </w:r>
            <w:r>
              <w:rPr>
                <w:rFonts w:hint="eastAsia" w:cs="Times New Roman"/>
                <w:color w:val="auto"/>
                <w:kern w:val="0"/>
                <w:sz w:val="21"/>
                <w:szCs w:val="21"/>
                <w:highlight w:val="none"/>
                <w:lang w:val="en-US" w:eastAsia="zh-CN"/>
              </w:rPr>
              <w:t>0</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白腰草鹬</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T. ochropus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U</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夏</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2</w:t>
            </w:r>
            <w:r>
              <w:rPr>
                <w:rFonts w:hint="eastAsia" w:cs="Times New Roman"/>
                <w:color w:val="auto"/>
                <w:kern w:val="0"/>
                <w:sz w:val="21"/>
                <w:szCs w:val="21"/>
                <w:highlight w:val="none"/>
                <w:lang w:val="en-US" w:eastAsia="zh-CN"/>
              </w:rPr>
              <w:t>1</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青脚滨鹬</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Calidris temminckii</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U</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旅</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(九)</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 xml:space="preserve">燕鸥科 </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Sternidae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2</w:t>
            </w:r>
            <w:r>
              <w:rPr>
                <w:rFonts w:hint="eastAsia" w:cs="Times New Roman"/>
                <w:color w:val="auto"/>
                <w:kern w:val="0"/>
                <w:sz w:val="21"/>
                <w:szCs w:val="21"/>
                <w:highlight w:val="none"/>
                <w:lang w:val="en-US" w:eastAsia="zh-CN"/>
              </w:rPr>
              <w:t>2</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普通燕鸥</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Sterna hirundo</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省</w:t>
            </w: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C</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夏</w:t>
            </w: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E7E6E6" w:themeFill="background2"/>
            <w:noWrap/>
            <w:vAlign w:val="center"/>
          </w:tcPr>
          <w:p>
            <w:pPr>
              <w:widowControl/>
              <w:spacing w:line="240" w:lineRule="auto"/>
              <w:ind w:firstLine="0" w:firstLineChars="0"/>
              <w:jc w:val="both"/>
              <w:rPr>
                <w:rFonts w:cs="Times New Roman"/>
                <w:b/>
                <w:bCs/>
                <w:color w:val="auto"/>
                <w:kern w:val="0"/>
                <w:sz w:val="21"/>
                <w:szCs w:val="21"/>
                <w:highlight w:val="none"/>
              </w:rPr>
            </w:pPr>
            <w:r>
              <w:rPr>
                <w:rFonts w:cs="Times New Roman"/>
                <w:b/>
                <w:bCs/>
                <w:color w:val="auto"/>
                <w:kern w:val="0"/>
                <w:sz w:val="21"/>
                <w:szCs w:val="21"/>
                <w:highlight w:val="none"/>
              </w:rPr>
              <w:t>八</w:t>
            </w:r>
          </w:p>
        </w:tc>
        <w:tc>
          <w:tcPr>
            <w:tcW w:w="934" w:type="pct"/>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 xml:space="preserve">鸽形目  </w:t>
            </w:r>
          </w:p>
        </w:tc>
        <w:tc>
          <w:tcPr>
            <w:tcW w:w="3363" w:type="pct"/>
            <w:gridSpan w:val="6"/>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jc w:val="left"/>
              <w:rPr>
                <w:rFonts w:cs="Times New Roman"/>
                <w:color w:val="auto"/>
                <w:kern w:val="0"/>
                <w:sz w:val="21"/>
                <w:szCs w:val="21"/>
                <w:highlight w:val="none"/>
              </w:rPr>
            </w:pPr>
            <w:r>
              <w:rPr>
                <w:rFonts w:cs="Times New Roman"/>
                <w:b/>
                <w:bCs/>
                <w:color w:val="auto"/>
                <w:kern w:val="0"/>
                <w:sz w:val="21"/>
                <w:szCs w:val="21"/>
                <w:highlight w:val="none"/>
              </w:rPr>
              <w:t>COLUMBIFORMES</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(十)</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 xml:space="preserve">鸠鸽科  </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Columbidae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2</w:t>
            </w:r>
            <w:r>
              <w:rPr>
                <w:rFonts w:hint="eastAsia" w:cs="Times New Roman"/>
                <w:color w:val="auto"/>
                <w:kern w:val="0"/>
                <w:sz w:val="21"/>
                <w:szCs w:val="21"/>
                <w:highlight w:val="none"/>
                <w:lang w:val="en-US" w:eastAsia="zh-CN"/>
              </w:rPr>
              <w:t>3</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 xml:space="preserve">雪鸽 </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C. leuconota</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东</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H</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E7E6E6" w:themeFill="background2"/>
            <w:noWrap/>
            <w:vAlign w:val="center"/>
          </w:tcPr>
          <w:p>
            <w:pPr>
              <w:widowControl/>
              <w:spacing w:line="240" w:lineRule="auto"/>
              <w:ind w:firstLine="0" w:firstLineChars="0"/>
              <w:jc w:val="both"/>
              <w:rPr>
                <w:rFonts w:cs="Times New Roman"/>
                <w:b/>
                <w:bCs/>
                <w:color w:val="auto"/>
                <w:kern w:val="0"/>
                <w:sz w:val="21"/>
                <w:szCs w:val="21"/>
                <w:highlight w:val="none"/>
              </w:rPr>
            </w:pPr>
            <w:r>
              <w:rPr>
                <w:rFonts w:cs="Times New Roman"/>
                <w:b/>
                <w:bCs/>
                <w:color w:val="auto"/>
                <w:kern w:val="0"/>
                <w:sz w:val="21"/>
                <w:szCs w:val="21"/>
                <w:highlight w:val="none"/>
              </w:rPr>
              <w:t>九</w:t>
            </w:r>
          </w:p>
        </w:tc>
        <w:tc>
          <w:tcPr>
            <w:tcW w:w="934" w:type="pct"/>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 xml:space="preserve">鹃形目 </w:t>
            </w:r>
          </w:p>
        </w:tc>
        <w:tc>
          <w:tcPr>
            <w:tcW w:w="3363" w:type="pct"/>
            <w:gridSpan w:val="6"/>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jc w:val="left"/>
              <w:rPr>
                <w:rFonts w:cs="Times New Roman"/>
                <w:color w:val="auto"/>
                <w:kern w:val="0"/>
                <w:sz w:val="21"/>
                <w:szCs w:val="21"/>
                <w:highlight w:val="none"/>
              </w:rPr>
            </w:pPr>
            <w:r>
              <w:rPr>
                <w:rFonts w:cs="Times New Roman"/>
                <w:b/>
                <w:bCs/>
                <w:color w:val="auto"/>
                <w:kern w:val="0"/>
                <w:sz w:val="21"/>
                <w:szCs w:val="21"/>
                <w:highlight w:val="none"/>
              </w:rPr>
              <w:t>CUCULIFORMES</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(十一)</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 xml:space="preserve">杜鹃科  </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Cuculidae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2</w:t>
            </w:r>
            <w:r>
              <w:rPr>
                <w:rFonts w:hint="eastAsia" w:cs="Times New Roman"/>
                <w:color w:val="auto"/>
                <w:kern w:val="0"/>
                <w:sz w:val="21"/>
                <w:szCs w:val="21"/>
                <w:highlight w:val="none"/>
                <w:lang w:val="en-US" w:eastAsia="zh-CN"/>
              </w:rPr>
              <w:t>4</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大杜鹃</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Cuculus canorus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广</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O</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夏</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E7E6E6" w:themeFill="background2"/>
            <w:noWrap/>
            <w:vAlign w:val="center"/>
          </w:tcPr>
          <w:p>
            <w:pPr>
              <w:widowControl/>
              <w:spacing w:line="240" w:lineRule="auto"/>
              <w:ind w:firstLine="0" w:firstLineChars="0"/>
              <w:jc w:val="both"/>
              <w:rPr>
                <w:rFonts w:cs="Times New Roman"/>
                <w:b/>
                <w:bCs/>
                <w:color w:val="auto"/>
                <w:kern w:val="0"/>
                <w:sz w:val="21"/>
                <w:szCs w:val="21"/>
                <w:highlight w:val="none"/>
              </w:rPr>
            </w:pPr>
            <w:r>
              <w:rPr>
                <w:rFonts w:cs="Times New Roman"/>
                <w:b/>
                <w:bCs/>
                <w:color w:val="auto"/>
                <w:kern w:val="0"/>
                <w:sz w:val="21"/>
                <w:szCs w:val="21"/>
                <w:highlight w:val="none"/>
              </w:rPr>
              <w:t>十</w:t>
            </w:r>
          </w:p>
        </w:tc>
        <w:tc>
          <w:tcPr>
            <w:tcW w:w="934" w:type="pct"/>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 xml:space="preserve">鸮形目  </w:t>
            </w:r>
          </w:p>
        </w:tc>
        <w:tc>
          <w:tcPr>
            <w:tcW w:w="3363" w:type="pct"/>
            <w:gridSpan w:val="6"/>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jc w:val="left"/>
              <w:rPr>
                <w:rFonts w:cs="Times New Roman"/>
                <w:color w:val="auto"/>
                <w:kern w:val="0"/>
                <w:sz w:val="21"/>
                <w:szCs w:val="21"/>
                <w:highlight w:val="none"/>
              </w:rPr>
            </w:pPr>
            <w:r>
              <w:rPr>
                <w:rFonts w:cs="Times New Roman"/>
                <w:b/>
                <w:bCs/>
                <w:color w:val="auto"/>
                <w:kern w:val="0"/>
                <w:sz w:val="21"/>
                <w:szCs w:val="21"/>
                <w:highlight w:val="none"/>
              </w:rPr>
              <w:t>STRIGIFORMES</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(十二)</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 xml:space="preserve">鸱鸮科 </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Strigidae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2</w:t>
            </w:r>
            <w:r>
              <w:rPr>
                <w:rFonts w:hint="eastAsia" w:cs="Times New Roman"/>
                <w:color w:val="auto"/>
                <w:kern w:val="0"/>
                <w:sz w:val="21"/>
                <w:szCs w:val="21"/>
                <w:highlight w:val="none"/>
                <w:lang w:val="en-US" w:eastAsia="zh-CN"/>
              </w:rPr>
              <w:t>5</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纵纹腹小鸮</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Athene noctua</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Ⅱ</w:t>
            </w: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U</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E7E6E6" w:themeFill="background2"/>
            <w:noWrap/>
            <w:vAlign w:val="center"/>
          </w:tcPr>
          <w:p>
            <w:pPr>
              <w:widowControl/>
              <w:spacing w:line="240" w:lineRule="auto"/>
              <w:ind w:firstLine="0" w:firstLineChars="0"/>
              <w:jc w:val="both"/>
              <w:rPr>
                <w:rFonts w:hint="eastAsia" w:eastAsia="宋体" w:cs="Times New Roman"/>
                <w:b/>
                <w:bCs/>
                <w:color w:val="auto"/>
                <w:kern w:val="0"/>
                <w:sz w:val="21"/>
                <w:szCs w:val="21"/>
                <w:highlight w:val="none"/>
                <w:lang w:val="en-US" w:eastAsia="zh-CN"/>
              </w:rPr>
            </w:pPr>
            <w:r>
              <w:rPr>
                <w:rFonts w:cs="Times New Roman"/>
                <w:b/>
                <w:bCs/>
                <w:color w:val="auto"/>
                <w:kern w:val="0"/>
                <w:sz w:val="21"/>
                <w:szCs w:val="21"/>
                <w:highlight w:val="none"/>
              </w:rPr>
              <w:t>十</w:t>
            </w:r>
            <w:r>
              <w:rPr>
                <w:rFonts w:hint="eastAsia" w:cs="Times New Roman"/>
                <w:b/>
                <w:bCs/>
                <w:color w:val="auto"/>
                <w:kern w:val="0"/>
                <w:sz w:val="21"/>
                <w:szCs w:val="21"/>
                <w:highlight w:val="none"/>
                <w:lang w:val="en-US" w:eastAsia="zh-CN"/>
              </w:rPr>
              <w:t>一</w:t>
            </w:r>
          </w:p>
        </w:tc>
        <w:tc>
          <w:tcPr>
            <w:tcW w:w="934" w:type="pct"/>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 xml:space="preserve">佛法僧目  </w:t>
            </w:r>
          </w:p>
        </w:tc>
        <w:tc>
          <w:tcPr>
            <w:tcW w:w="3363" w:type="pct"/>
            <w:gridSpan w:val="6"/>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jc w:val="left"/>
              <w:rPr>
                <w:rFonts w:cs="Times New Roman"/>
                <w:color w:val="auto"/>
                <w:kern w:val="0"/>
                <w:sz w:val="21"/>
                <w:szCs w:val="21"/>
                <w:highlight w:val="none"/>
              </w:rPr>
            </w:pPr>
            <w:r>
              <w:rPr>
                <w:rFonts w:cs="Times New Roman"/>
                <w:b/>
                <w:bCs/>
                <w:color w:val="auto"/>
                <w:kern w:val="0"/>
                <w:sz w:val="21"/>
                <w:szCs w:val="21"/>
                <w:highlight w:val="none"/>
              </w:rPr>
              <w:t>CORACIIFORMES</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(十</w:t>
            </w:r>
            <w:r>
              <w:rPr>
                <w:rFonts w:hint="eastAsia" w:cs="Times New Roman"/>
                <w:b/>
                <w:bCs/>
                <w:color w:val="auto"/>
                <w:kern w:val="0"/>
                <w:sz w:val="21"/>
                <w:szCs w:val="21"/>
                <w:highlight w:val="none"/>
                <w:lang w:val="en-US" w:eastAsia="zh-CN"/>
              </w:rPr>
              <w:t>三</w:t>
            </w:r>
            <w:r>
              <w:rPr>
                <w:rFonts w:cs="Times New Roman"/>
                <w:b/>
                <w:bCs/>
                <w:color w:val="auto"/>
                <w:kern w:val="0"/>
                <w:sz w:val="21"/>
                <w:szCs w:val="21"/>
                <w:highlight w:val="none"/>
              </w:rPr>
              <w:t>)</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 xml:space="preserve">翠鸟科   </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Alcedinidae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2</w:t>
            </w:r>
            <w:r>
              <w:rPr>
                <w:rFonts w:hint="eastAsia" w:cs="Times New Roman"/>
                <w:color w:val="auto"/>
                <w:kern w:val="0"/>
                <w:sz w:val="21"/>
                <w:szCs w:val="21"/>
                <w:highlight w:val="none"/>
                <w:lang w:val="en-US" w:eastAsia="zh-CN"/>
              </w:rPr>
              <w:t>6</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普通翠鸟</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Alcedo atthis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广</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O</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E7E6E6" w:themeFill="background2"/>
            <w:noWrap/>
            <w:vAlign w:val="center"/>
          </w:tcPr>
          <w:p>
            <w:pPr>
              <w:widowControl/>
              <w:spacing w:line="240" w:lineRule="auto"/>
              <w:ind w:firstLine="0" w:firstLineChars="0"/>
              <w:jc w:val="both"/>
              <w:rPr>
                <w:rFonts w:hint="eastAsia" w:eastAsia="宋体" w:cs="Times New Roman"/>
                <w:b/>
                <w:bCs/>
                <w:color w:val="auto"/>
                <w:kern w:val="0"/>
                <w:sz w:val="21"/>
                <w:szCs w:val="21"/>
                <w:highlight w:val="none"/>
                <w:lang w:eastAsia="zh-CN"/>
              </w:rPr>
            </w:pPr>
            <w:r>
              <w:rPr>
                <w:rFonts w:cs="Times New Roman"/>
                <w:b/>
                <w:bCs/>
                <w:color w:val="auto"/>
                <w:kern w:val="0"/>
                <w:sz w:val="21"/>
                <w:szCs w:val="21"/>
                <w:highlight w:val="none"/>
              </w:rPr>
              <w:t>十</w:t>
            </w:r>
            <w:r>
              <w:rPr>
                <w:rFonts w:hint="eastAsia" w:cs="Times New Roman"/>
                <w:b/>
                <w:bCs/>
                <w:color w:val="auto"/>
                <w:kern w:val="0"/>
                <w:sz w:val="21"/>
                <w:szCs w:val="21"/>
                <w:highlight w:val="none"/>
                <w:lang w:val="en-US" w:eastAsia="zh-CN"/>
              </w:rPr>
              <w:t>二</w:t>
            </w:r>
          </w:p>
        </w:tc>
        <w:tc>
          <w:tcPr>
            <w:tcW w:w="934" w:type="pct"/>
            <w:tcBorders>
              <w:top w:val="nil"/>
              <w:left w:val="nil"/>
              <w:bottom w:val="single" w:color="auto" w:sz="4" w:space="0"/>
              <w:right w:val="single" w:color="auto" w:sz="4" w:space="0"/>
            </w:tcBorders>
            <w:shd w:val="clear" w:color="auto" w:fill="E7E6E6" w:themeFill="background2"/>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犀鸟目</w:t>
            </w:r>
          </w:p>
        </w:tc>
        <w:tc>
          <w:tcPr>
            <w:tcW w:w="3363" w:type="pct"/>
            <w:gridSpan w:val="6"/>
            <w:tcBorders>
              <w:top w:val="nil"/>
              <w:left w:val="nil"/>
              <w:bottom w:val="single" w:color="auto" w:sz="4" w:space="0"/>
              <w:right w:val="single" w:color="auto" w:sz="4" w:space="0"/>
            </w:tcBorders>
            <w:shd w:val="clear" w:color="auto" w:fill="E7E6E6" w:themeFill="background2"/>
            <w:noWrap/>
            <w:vAlign w:val="bottom"/>
          </w:tcPr>
          <w:p>
            <w:pPr>
              <w:widowControl/>
              <w:spacing w:line="240" w:lineRule="auto"/>
              <w:ind w:firstLine="0" w:firstLineChars="0"/>
              <w:jc w:val="left"/>
              <w:rPr>
                <w:rFonts w:cs="Times New Roman"/>
                <w:color w:val="auto"/>
                <w:kern w:val="0"/>
                <w:sz w:val="21"/>
                <w:szCs w:val="21"/>
                <w:highlight w:val="none"/>
              </w:rPr>
            </w:pPr>
            <w:r>
              <w:rPr>
                <w:rFonts w:cs="Times New Roman"/>
                <w:b/>
                <w:bCs/>
                <w:color w:val="auto"/>
                <w:kern w:val="0"/>
                <w:sz w:val="21"/>
                <w:szCs w:val="21"/>
                <w:highlight w:val="none"/>
              </w:rPr>
              <w:t xml:space="preserve">BUCEROTIFORMES    </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(十</w:t>
            </w:r>
            <w:r>
              <w:rPr>
                <w:rFonts w:hint="eastAsia" w:cs="Times New Roman"/>
                <w:b/>
                <w:bCs/>
                <w:color w:val="auto"/>
                <w:kern w:val="0"/>
                <w:sz w:val="21"/>
                <w:szCs w:val="21"/>
                <w:highlight w:val="none"/>
                <w:lang w:val="en-US" w:eastAsia="zh-CN"/>
              </w:rPr>
              <w:t>四</w:t>
            </w:r>
            <w:r>
              <w:rPr>
                <w:rFonts w:cs="Times New Roman"/>
                <w:b/>
                <w:bCs/>
                <w:color w:val="auto"/>
                <w:kern w:val="0"/>
                <w:sz w:val="21"/>
                <w:szCs w:val="21"/>
                <w:highlight w:val="none"/>
              </w:rPr>
              <w:t>)</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 xml:space="preserve">戴胜科 </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Upupidae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2</w:t>
            </w:r>
            <w:r>
              <w:rPr>
                <w:rFonts w:hint="eastAsia" w:cs="Times New Roman"/>
                <w:color w:val="auto"/>
                <w:kern w:val="0"/>
                <w:sz w:val="21"/>
                <w:szCs w:val="21"/>
                <w:highlight w:val="none"/>
                <w:lang w:val="en-US" w:eastAsia="zh-CN"/>
              </w:rPr>
              <w:t>7</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戴胜</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Upupa epops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广</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O</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夏</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kern w:val="0"/>
                <w:sz w:val="21"/>
                <w:szCs w:val="21"/>
                <w:highlight w:val="none"/>
                <w:lang w:val="en-US" w:eastAsia="zh-CN"/>
              </w:rPr>
              <w:t>资料</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E7E6E6" w:themeFill="background2"/>
            <w:noWrap/>
            <w:vAlign w:val="center"/>
          </w:tcPr>
          <w:p>
            <w:pPr>
              <w:widowControl/>
              <w:spacing w:line="240" w:lineRule="auto"/>
              <w:ind w:firstLine="0" w:firstLineChars="0"/>
              <w:jc w:val="both"/>
              <w:rPr>
                <w:rFonts w:hint="eastAsia" w:eastAsia="宋体" w:cs="Times New Roman"/>
                <w:b/>
                <w:bCs/>
                <w:color w:val="auto"/>
                <w:kern w:val="0"/>
                <w:sz w:val="21"/>
                <w:szCs w:val="21"/>
                <w:highlight w:val="none"/>
                <w:lang w:eastAsia="zh-CN"/>
              </w:rPr>
            </w:pPr>
            <w:r>
              <w:rPr>
                <w:rFonts w:cs="Times New Roman"/>
                <w:b/>
                <w:bCs/>
                <w:color w:val="auto"/>
                <w:kern w:val="0"/>
                <w:sz w:val="21"/>
                <w:szCs w:val="21"/>
                <w:highlight w:val="none"/>
              </w:rPr>
              <w:t>十</w:t>
            </w:r>
            <w:r>
              <w:rPr>
                <w:rFonts w:hint="eastAsia" w:cs="Times New Roman"/>
                <w:b/>
                <w:bCs/>
                <w:color w:val="auto"/>
                <w:kern w:val="0"/>
                <w:sz w:val="21"/>
                <w:szCs w:val="21"/>
                <w:highlight w:val="none"/>
                <w:lang w:val="en-US" w:eastAsia="zh-CN"/>
              </w:rPr>
              <w:t>三</w:t>
            </w:r>
          </w:p>
        </w:tc>
        <w:tc>
          <w:tcPr>
            <w:tcW w:w="934" w:type="pct"/>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 xml:space="preserve">雀形目 </w:t>
            </w:r>
          </w:p>
        </w:tc>
        <w:tc>
          <w:tcPr>
            <w:tcW w:w="3363" w:type="pct"/>
            <w:gridSpan w:val="6"/>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jc w:val="left"/>
              <w:rPr>
                <w:rFonts w:cs="Times New Roman"/>
                <w:color w:val="auto"/>
                <w:kern w:val="0"/>
                <w:sz w:val="21"/>
                <w:szCs w:val="21"/>
                <w:highlight w:val="none"/>
              </w:rPr>
            </w:pPr>
            <w:r>
              <w:rPr>
                <w:rFonts w:cs="Times New Roman"/>
                <w:b/>
                <w:bCs/>
                <w:color w:val="auto"/>
                <w:kern w:val="0"/>
                <w:sz w:val="21"/>
                <w:szCs w:val="21"/>
                <w:highlight w:val="none"/>
              </w:rPr>
              <w:t>PASSERRIFORMES</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(十</w:t>
            </w:r>
            <w:r>
              <w:rPr>
                <w:rFonts w:hint="eastAsia" w:cs="Times New Roman"/>
                <w:b/>
                <w:bCs/>
                <w:color w:val="auto"/>
                <w:kern w:val="0"/>
                <w:sz w:val="21"/>
                <w:szCs w:val="21"/>
                <w:highlight w:val="none"/>
                <w:lang w:val="en-US" w:eastAsia="zh-CN"/>
              </w:rPr>
              <w:t>五</w:t>
            </w:r>
            <w:r>
              <w:rPr>
                <w:rFonts w:cs="Times New Roman"/>
                <w:b/>
                <w:bCs/>
                <w:color w:val="auto"/>
                <w:kern w:val="0"/>
                <w:sz w:val="21"/>
                <w:szCs w:val="21"/>
                <w:highlight w:val="none"/>
              </w:rPr>
              <w:t>)</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百灵科</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Alaudidae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28</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凤头百灵</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Galerida cristata</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广</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O</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资料</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29</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角百灵</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Eremophila alpestris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C</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资料</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3</w:t>
            </w:r>
            <w:r>
              <w:rPr>
                <w:rFonts w:hint="eastAsia" w:cs="Times New Roman"/>
                <w:color w:val="auto"/>
                <w:kern w:val="0"/>
                <w:sz w:val="21"/>
                <w:szCs w:val="21"/>
                <w:highlight w:val="none"/>
                <w:lang w:val="en-US" w:eastAsia="zh-CN"/>
              </w:rPr>
              <w:t>0</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 xml:space="preserve">小云雀 </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Alauda gulgula</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东</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W</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夏</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kern w:val="0"/>
                <w:sz w:val="21"/>
                <w:szCs w:val="21"/>
                <w:highlight w:val="none"/>
                <w:lang w:val="en-US" w:eastAsia="zh-CN"/>
              </w:rPr>
              <w:t>资料</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(十</w:t>
            </w:r>
            <w:r>
              <w:rPr>
                <w:rFonts w:hint="eastAsia" w:cs="Times New Roman"/>
                <w:b/>
                <w:bCs/>
                <w:color w:val="auto"/>
                <w:kern w:val="0"/>
                <w:sz w:val="21"/>
                <w:szCs w:val="21"/>
                <w:highlight w:val="none"/>
                <w:lang w:val="en-US" w:eastAsia="zh-CN"/>
              </w:rPr>
              <w:t>六</w:t>
            </w:r>
            <w:r>
              <w:rPr>
                <w:rFonts w:cs="Times New Roman"/>
                <w:b/>
                <w:bCs/>
                <w:color w:val="auto"/>
                <w:kern w:val="0"/>
                <w:sz w:val="21"/>
                <w:szCs w:val="21"/>
                <w:highlight w:val="none"/>
              </w:rPr>
              <w:t>)</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hint="eastAsia" w:cs="Times New Roman"/>
                <w:b/>
                <w:bCs/>
                <w:color w:val="auto"/>
                <w:kern w:val="0"/>
                <w:sz w:val="21"/>
                <w:szCs w:val="21"/>
                <w:highlight w:val="none"/>
              </w:rPr>
              <w:t>鹡鸰</w:t>
            </w:r>
            <w:r>
              <w:rPr>
                <w:rFonts w:cs="Times New Roman"/>
                <w:b/>
                <w:bCs/>
                <w:color w:val="auto"/>
                <w:kern w:val="0"/>
                <w:sz w:val="21"/>
                <w:szCs w:val="21"/>
                <w:highlight w:val="none"/>
              </w:rPr>
              <w:t>科</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Motaillidae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3</w:t>
            </w:r>
            <w:r>
              <w:rPr>
                <w:rFonts w:hint="eastAsia" w:cs="Times New Roman"/>
                <w:color w:val="auto"/>
                <w:kern w:val="0"/>
                <w:sz w:val="21"/>
                <w:szCs w:val="21"/>
                <w:highlight w:val="none"/>
                <w:lang w:val="en-US" w:eastAsia="zh-CN"/>
              </w:rPr>
              <w:t>1</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hint="eastAsia" w:eastAsia="宋体" w:cs="Times New Roman"/>
                <w:color w:val="auto"/>
                <w:kern w:val="0"/>
                <w:sz w:val="21"/>
                <w:szCs w:val="21"/>
                <w:highlight w:val="none"/>
                <w:lang w:val="en-US" w:eastAsia="zh-CN"/>
              </w:rPr>
            </w:pPr>
            <w:r>
              <w:rPr>
                <w:rFonts w:cs="Times New Roman"/>
                <w:color w:val="auto"/>
                <w:kern w:val="0"/>
                <w:sz w:val="21"/>
                <w:szCs w:val="21"/>
                <w:highlight w:val="none"/>
              </w:rPr>
              <w:t>灰</w:t>
            </w:r>
            <w:r>
              <w:rPr>
                <w:rFonts w:hint="eastAsia" w:cs="Times New Roman"/>
                <w:color w:val="auto"/>
                <w:kern w:val="0"/>
                <w:sz w:val="21"/>
                <w:szCs w:val="21"/>
                <w:highlight w:val="none"/>
                <w:lang w:val="en-US" w:eastAsia="zh-CN"/>
              </w:rPr>
              <w:t>鹡鸰</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hint="eastAsia" w:cs="Times New Roman"/>
                <w:i/>
                <w:iCs/>
                <w:color w:val="auto"/>
                <w:kern w:val="0"/>
                <w:sz w:val="21"/>
                <w:szCs w:val="21"/>
                <w:highlight w:val="none"/>
              </w:rPr>
              <w:t>Motacilla</w:t>
            </w:r>
            <w:r>
              <w:rPr>
                <w:rFonts w:cs="Times New Roman"/>
                <w:i/>
                <w:iCs/>
                <w:color w:val="auto"/>
                <w:kern w:val="0"/>
                <w:sz w:val="21"/>
                <w:szCs w:val="21"/>
                <w:highlight w:val="none"/>
              </w:rPr>
              <w:t xml:space="preserve"> cinerea</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广</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O</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旅</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3</w:t>
            </w:r>
            <w:r>
              <w:rPr>
                <w:rFonts w:hint="eastAsia" w:cs="Times New Roman"/>
                <w:color w:val="auto"/>
                <w:kern w:val="0"/>
                <w:sz w:val="21"/>
                <w:szCs w:val="21"/>
                <w:highlight w:val="none"/>
                <w:lang w:val="en-US" w:eastAsia="zh-CN"/>
              </w:rPr>
              <w:t>2</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白</w:t>
            </w:r>
            <w:r>
              <w:rPr>
                <w:rFonts w:hint="eastAsia" w:cs="Times New Roman"/>
                <w:color w:val="auto"/>
                <w:kern w:val="0"/>
                <w:sz w:val="21"/>
                <w:szCs w:val="21"/>
                <w:highlight w:val="none"/>
                <w:lang w:val="en-US" w:eastAsia="zh-CN"/>
              </w:rPr>
              <w:t>鹡鸰</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M. alba</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广</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O</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3</w:t>
            </w:r>
            <w:r>
              <w:rPr>
                <w:rFonts w:hint="eastAsia" w:cs="Times New Roman"/>
                <w:color w:val="auto"/>
                <w:kern w:val="0"/>
                <w:sz w:val="21"/>
                <w:szCs w:val="21"/>
                <w:highlight w:val="none"/>
                <w:lang w:val="en-US" w:eastAsia="zh-CN"/>
              </w:rPr>
              <w:t>3</w:t>
            </w:r>
          </w:p>
        </w:tc>
        <w:tc>
          <w:tcPr>
            <w:tcW w:w="93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黄</w:t>
            </w:r>
            <w:r>
              <w:rPr>
                <w:rFonts w:hint="eastAsia" w:cs="Times New Roman"/>
                <w:color w:val="auto"/>
                <w:kern w:val="0"/>
                <w:sz w:val="21"/>
                <w:szCs w:val="21"/>
                <w:highlight w:val="none"/>
                <w:lang w:val="en-US" w:eastAsia="zh-CN"/>
              </w:rPr>
              <w:t>鹡鸰</w:t>
            </w:r>
          </w:p>
        </w:tc>
        <w:tc>
          <w:tcPr>
            <w:tcW w:w="14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M. flava</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U</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夏</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kern w:val="0"/>
                <w:sz w:val="21"/>
                <w:szCs w:val="21"/>
                <w:highlight w:val="none"/>
                <w:lang w:val="en-US" w:eastAsia="zh-CN"/>
              </w:rPr>
              <w:t>资料</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(十</w:t>
            </w:r>
            <w:r>
              <w:rPr>
                <w:rFonts w:hint="eastAsia" w:cs="Times New Roman"/>
                <w:b/>
                <w:bCs/>
                <w:color w:val="auto"/>
                <w:kern w:val="0"/>
                <w:sz w:val="21"/>
                <w:szCs w:val="21"/>
                <w:highlight w:val="none"/>
                <w:lang w:val="en-US" w:eastAsia="zh-CN"/>
              </w:rPr>
              <w:t>七</w:t>
            </w:r>
            <w:r>
              <w:rPr>
                <w:rFonts w:cs="Times New Roman"/>
                <w:b/>
                <w:bCs/>
                <w:color w:val="auto"/>
                <w:kern w:val="0"/>
                <w:sz w:val="21"/>
                <w:szCs w:val="21"/>
                <w:highlight w:val="none"/>
              </w:rPr>
              <w:t>)</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伯劳科</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Laniidae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3</w:t>
            </w:r>
            <w:r>
              <w:rPr>
                <w:rFonts w:hint="eastAsia" w:cs="Times New Roman"/>
                <w:color w:val="auto"/>
                <w:kern w:val="0"/>
                <w:sz w:val="21"/>
                <w:szCs w:val="21"/>
                <w:highlight w:val="none"/>
                <w:lang w:val="en-US" w:eastAsia="zh-CN"/>
              </w:rPr>
              <w:t>4</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灰背伯劳</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Lanius tephronotus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东</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H</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(十</w:t>
            </w:r>
            <w:r>
              <w:rPr>
                <w:rFonts w:hint="eastAsia" w:cs="Times New Roman"/>
                <w:b/>
                <w:bCs/>
                <w:color w:val="auto"/>
                <w:kern w:val="0"/>
                <w:sz w:val="21"/>
                <w:szCs w:val="21"/>
                <w:highlight w:val="none"/>
                <w:lang w:val="en-US" w:eastAsia="zh-CN"/>
              </w:rPr>
              <w:t>八</w:t>
            </w:r>
            <w:r>
              <w:rPr>
                <w:rFonts w:cs="Times New Roman"/>
                <w:b/>
                <w:bCs/>
                <w:color w:val="auto"/>
                <w:kern w:val="0"/>
                <w:sz w:val="21"/>
                <w:szCs w:val="21"/>
                <w:highlight w:val="none"/>
              </w:rPr>
              <w:t>)</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鸦科</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Corvidae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3</w:t>
            </w:r>
            <w:r>
              <w:rPr>
                <w:rFonts w:hint="eastAsia" w:cs="Times New Roman"/>
                <w:color w:val="auto"/>
                <w:kern w:val="0"/>
                <w:sz w:val="21"/>
                <w:szCs w:val="21"/>
                <w:highlight w:val="none"/>
                <w:lang w:val="en-US" w:eastAsia="zh-CN"/>
              </w:rPr>
              <w:t>5</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喜鹊</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Pica pica</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C</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3</w:t>
            </w:r>
            <w:r>
              <w:rPr>
                <w:rFonts w:hint="eastAsia" w:cs="Times New Roman"/>
                <w:color w:val="auto"/>
                <w:kern w:val="0"/>
                <w:sz w:val="21"/>
                <w:szCs w:val="21"/>
                <w:highlight w:val="none"/>
                <w:lang w:val="en-US" w:eastAsia="zh-CN"/>
              </w:rPr>
              <w:t>6</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红嘴山鸦</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Pyrrhocorax pyrrhocorax</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广</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O</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3</w:t>
            </w:r>
            <w:r>
              <w:rPr>
                <w:rFonts w:hint="eastAsia" w:cs="Times New Roman"/>
                <w:color w:val="auto"/>
                <w:kern w:val="0"/>
                <w:sz w:val="21"/>
                <w:szCs w:val="21"/>
                <w:highlight w:val="none"/>
                <w:lang w:val="en-US" w:eastAsia="zh-CN"/>
              </w:rPr>
              <w:t>7</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大嘴乌鸦</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hint="eastAsia" w:cs="Times New Roman"/>
                <w:i/>
                <w:iCs/>
                <w:color w:val="auto"/>
                <w:kern w:val="0"/>
                <w:sz w:val="21"/>
                <w:szCs w:val="21"/>
                <w:highlight w:val="none"/>
              </w:rPr>
              <w:t>Corvus</w:t>
            </w:r>
            <w:r>
              <w:rPr>
                <w:rFonts w:cs="Times New Roman"/>
                <w:i/>
                <w:iCs/>
                <w:color w:val="auto"/>
                <w:kern w:val="0"/>
                <w:sz w:val="21"/>
                <w:szCs w:val="21"/>
                <w:highlight w:val="none"/>
              </w:rPr>
              <w:t xml:space="preserve"> macrorhynchos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(十</w:t>
            </w:r>
            <w:r>
              <w:rPr>
                <w:rFonts w:hint="eastAsia" w:cs="Times New Roman"/>
                <w:b/>
                <w:bCs/>
                <w:color w:val="auto"/>
                <w:kern w:val="0"/>
                <w:sz w:val="21"/>
                <w:szCs w:val="21"/>
                <w:highlight w:val="none"/>
                <w:lang w:val="en-US" w:eastAsia="zh-CN"/>
              </w:rPr>
              <w:t>九</w:t>
            </w:r>
            <w:r>
              <w:rPr>
                <w:rFonts w:cs="Times New Roman"/>
                <w:b/>
                <w:bCs/>
                <w:color w:val="auto"/>
                <w:kern w:val="0"/>
                <w:sz w:val="21"/>
                <w:szCs w:val="21"/>
                <w:highlight w:val="none"/>
              </w:rPr>
              <w:t>)</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河乌科</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Cinclidae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38</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河乌</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Cinclus cinclus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广</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O</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(二十)</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鹪鹩科</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Troglodytidae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39</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鹪鹩</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Troglodytes troglodytes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C</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(二十一)</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鹟科</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Muscicapidae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4</w:t>
            </w:r>
            <w:r>
              <w:rPr>
                <w:rFonts w:hint="eastAsia" w:cs="Times New Roman"/>
                <w:color w:val="auto"/>
                <w:kern w:val="0"/>
                <w:sz w:val="21"/>
                <w:szCs w:val="21"/>
                <w:highlight w:val="none"/>
                <w:lang w:val="en-US" w:eastAsia="zh-CN"/>
              </w:rPr>
              <w:t>0</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蓝额红尾鸲</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hint="eastAsia" w:cs="Times New Roman"/>
                <w:i/>
                <w:iCs/>
                <w:color w:val="auto"/>
                <w:kern w:val="0"/>
                <w:sz w:val="21"/>
                <w:szCs w:val="21"/>
                <w:highlight w:val="none"/>
              </w:rPr>
              <w:t>Phoenicurus</w:t>
            </w:r>
            <w:r>
              <w:rPr>
                <w:rFonts w:cs="Times New Roman"/>
                <w:i/>
                <w:iCs/>
                <w:color w:val="auto"/>
                <w:kern w:val="0"/>
                <w:sz w:val="21"/>
                <w:szCs w:val="21"/>
                <w:highlight w:val="none"/>
              </w:rPr>
              <w:t xml:space="preserve"> frontalis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东</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H</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4</w:t>
            </w:r>
            <w:r>
              <w:rPr>
                <w:rFonts w:hint="eastAsia" w:cs="Times New Roman"/>
                <w:color w:val="auto"/>
                <w:kern w:val="0"/>
                <w:sz w:val="21"/>
                <w:szCs w:val="21"/>
                <w:highlight w:val="none"/>
                <w:lang w:val="en-US" w:eastAsia="zh-CN"/>
              </w:rPr>
              <w:t>1</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北红尾鸲</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P. auroreus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M</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夏</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42</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黑喉红尾鸲</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P. hodgsoni</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东</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H</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4</w:t>
            </w:r>
            <w:r>
              <w:rPr>
                <w:rFonts w:hint="eastAsia" w:cs="Times New Roman"/>
                <w:color w:val="auto"/>
                <w:kern w:val="0"/>
                <w:sz w:val="21"/>
                <w:szCs w:val="21"/>
                <w:highlight w:val="none"/>
                <w:lang w:val="en-US" w:eastAsia="zh-CN"/>
              </w:rPr>
              <w:t>3</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白喉红尾鸲</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P. schisticeps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东</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H</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4</w:t>
            </w:r>
            <w:r>
              <w:rPr>
                <w:rFonts w:hint="eastAsia" w:cs="Times New Roman"/>
                <w:color w:val="auto"/>
                <w:kern w:val="0"/>
                <w:sz w:val="21"/>
                <w:szCs w:val="21"/>
                <w:highlight w:val="none"/>
                <w:lang w:val="en-US" w:eastAsia="zh-CN"/>
              </w:rPr>
              <w:t>4</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红尾水鸲</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Rhyacornis fuliginosus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东</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W</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4</w:t>
            </w:r>
            <w:r>
              <w:rPr>
                <w:rFonts w:hint="eastAsia" w:cs="Times New Roman"/>
                <w:color w:val="auto"/>
                <w:kern w:val="0"/>
                <w:sz w:val="21"/>
                <w:szCs w:val="21"/>
                <w:highlight w:val="none"/>
                <w:lang w:val="en-US" w:eastAsia="zh-CN"/>
              </w:rPr>
              <w:t>5</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白顶溪鸲</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18"/>
                <w:szCs w:val="18"/>
                <w:highlight w:val="none"/>
              </w:rPr>
              <w:t>Chaimarrornis leucocephalus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东</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H</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夏</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kern w:val="0"/>
                <w:sz w:val="21"/>
                <w:szCs w:val="21"/>
                <w:highlight w:val="none"/>
                <w:lang w:val="en-US" w:eastAsia="zh-CN"/>
              </w:rPr>
              <w:t>资料</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(二十</w:t>
            </w:r>
            <w:r>
              <w:rPr>
                <w:rFonts w:hint="eastAsia" w:cs="Times New Roman"/>
                <w:b/>
                <w:bCs/>
                <w:color w:val="auto"/>
                <w:kern w:val="0"/>
                <w:sz w:val="21"/>
                <w:szCs w:val="21"/>
                <w:highlight w:val="none"/>
                <w:lang w:val="en-US" w:eastAsia="zh-CN"/>
              </w:rPr>
              <w:t>二</w:t>
            </w:r>
            <w:r>
              <w:rPr>
                <w:rFonts w:cs="Times New Roman"/>
                <w:b/>
                <w:bCs/>
                <w:color w:val="auto"/>
                <w:kern w:val="0"/>
                <w:sz w:val="21"/>
                <w:szCs w:val="21"/>
                <w:highlight w:val="none"/>
              </w:rPr>
              <w:t>)</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噪鹛科</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 xml:space="preserve">Leiothrichidae     </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46</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橙翅噪鹛</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color w:val="auto"/>
                <w:kern w:val="0"/>
                <w:sz w:val="21"/>
                <w:szCs w:val="21"/>
                <w:highlight w:val="none"/>
              </w:rPr>
            </w:pPr>
            <w:r>
              <w:rPr>
                <w:rFonts w:hint="eastAsia" w:cs="Times New Roman"/>
                <w:i/>
                <w:iCs/>
                <w:color w:val="auto"/>
                <w:kern w:val="0"/>
                <w:sz w:val="21"/>
                <w:szCs w:val="21"/>
                <w:highlight w:val="none"/>
              </w:rPr>
              <w:t>Garrulax</w:t>
            </w:r>
            <w:r>
              <w:rPr>
                <w:rFonts w:hint="eastAsia" w:cs="Times New Roman"/>
                <w:i/>
                <w:iCs/>
                <w:color w:val="auto"/>
                <w:kern w:val="0"/>
                <w:sz w:val="21"/>
                <w:szCs w:val="21"/>
                <w:highlight w:val="none"/>
                <w:lang w:val="en-US" w:eastAsia="zh-CN"/>
              </w:rPr>
              <w:t xml:space="preserve"> </w:t>
            </w:r>
            <w:r>
              <w:rPr>
                <w:rFonts w:cs="Times New Roman"/>
                <w:i/>
                <w:iCs/>
                <w:color w:val="auto"/>
                <w:kern w:val="0"/>
                <w:sz w:val="21"/>
                <w:szCs w:val="21"/>
                <w:highlight w:val="none"/>
              </w:rPr>
              <w:t>elliotii</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Ⅱ</w:t>
            </w: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东</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H</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(二十</w:t>
            </w:r>
            <w:r>
              <w:rPr>
                <w:rFonts w:hint="eastAsia" w:cs="Times New Roman"/>
                <w:b/>
                <w:bCs/>
                <w:color w:val="auto"/>
                <w:kern w:val="0"/>
                <w:sz w:val="21"/>
                <w:szCs w:val="21"/>
                <w:highlight w:val="none"/>
                <w:lang w:val="en-US" w:eastAsia="zh-CN"/>
              </w:rPr>
              <w:t>三</w:t>
            </w:r>
            <w:r>
              <w:rPr>
                <w:rFonts w:cs="Times New Roman"/>
                <w:b/>
                <w:bCs/>
                <w:color w:val="auto"/>
                <w:kern w:val="0"/>
                <w:sz w:val="21"/>
                <w:szCs w:val="21"/>
                <w:highlight w:val="none"/>
              </w:rPr>
              <w:t>)</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莺鹛科</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 xml:space="preserve">Sylviidae     </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47</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高山雀鹛</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Alcippe striaticollis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东</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H</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夏</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(二十</w:t>
            </w:r>
            <w:r>
              <w:rPr>
                <w:rFonts w:hint="eastAsia" w:cs="Times New Roman"/>
                <w:b/>
                <w:bCs/>
                <w:color w:val="auto"/>
                <w:kern w:val="0"/>
                <w:sz w:val="21"/>
                <w:szCs w:val="21"/>
                <w:highlight w:val="none"/>
                <w:lang w:val="en-US" w:eastAsia="zh-CN"/>
              </w:rPr>
              <w:t>四</w:t>
            </w:r>
            <w:r>
              <w:rPr>
                <w:rFonts w:cs="Times New Roman"/>
                <w:b/>
                <w:bCs/>
                <w:color w:val="auto"/>
                <w:kern w:val="0"/>
                <w:sz w:val="21"/>
                <w:szCs w:val="21"/>
                <w:highlight w:val="none"/>
              </w:rPr>
              <w:t>)</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柳莺科</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 xml:space="preserve">Phylloscopidae     </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48</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橙斑翅柳莺</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hint="eastAsia" w:cs="Times New Roman"/>
                <w:i/>
                <w:iCs/>
                <w:color w:val="auto"/>
                <w:kern w:val="0"/>
                <w:sz w:val="21"/>
                <w:szCs w:val="21"/>
                <w:highlight w:val="none"/>
              </w:rPr>
              <w:t>Phylloscopus</w:t>
            </w:r>
            <w:r>
              <w:rPr>
                <w:rFonts w:cs="Times New Roman"/>
                <w:i/>
                <w:iCs/>
                <w:color w:val="auto"/>
                <w:kern w:val="0"/>
                <w:sz w:val="21"/>
                <w:szCs w:val="21"/>
                <w:highlight w:val="none"/>
              </w:rPr>
              <w:t xml:space="preserve"> pulcher</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东</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H</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夏</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kern w:val="0"/>
                <w:sz w:val="21"/>
                <w:szCs w:val="21"/>
                <w:highlight w:val="none"/>
                <w:lang w:val="en-US" w:eastAsia="zh-CN"/>
              </w:rPr>
              <w:t>资料</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49</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黄眉柳莺</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P. inornatus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U</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夏</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(二十</w:t>
            </w:r>
            <w:r>
              <w:rPr>
                <w:rFonts w:hint="eastAsia" w:cs="Times New Roman"/>
                <w:b/>
                <w:bCs/>
                <w:color w:val="auto"/>
                <w:kern w:val="0"/>
                <w:sz w:val="21"/>
                <w:szCs w:val="21"/>
                <w:highlight w:val="none"/>
                <w:lang w:val="en-US" w:eastAsia="zh-CN"/>
              </w:rPr>
              <w:t>五</w:t>
            </w:r>
            <w:r>
              <w:rPr>
                <w:rFonts w:cs="Times New Roman"/>
                <w:b/>
                <w:bCs/>
                <w:color w:val="auto"/>
                <w:kern w:val="0"/>
                <w:sz w:val="21"/>
                <w:szCs w:val="21"/>
                <w:highlight w:val="none"/>
              </w:rPr>
              <w:t>)</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山雀科</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Parida</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50</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大山雀</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Parus major</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广</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O</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5</w:t>
            </w:r>
            <w:r>
              <w:rPr>
                <w:rFonts w:hint="eastAsia" w:cs="Times New Roman"/>
                <w:color w:val="auto"/>
                <w:kern w:val="0"/>
                <w:sz w:val="21"/>
                <w:szCs w:val="21"/>
                <w:highlight w:val="none"/>
                <w:lang w:val="en-US" w:eastAsia="zh-CN"/>
              </w:rPr>
              <w:t>1</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绿背山雀</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P. monticolus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东</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W</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cs="Times New Roman"/>
                <w:color w:val="auto"/>
                <w:kern w:val="0"/>
                <w:sz w:val="21"/>
                <w:szCs w:val="21"/>
                <w:highlight w:val="none"/>
              </w:rPr>
              <w:t>5</w:t>
            </w:r>
            <w:r>
              <w:rPr>
                <w:rFonts w:hint="eastAsia" w:cs="Times New Roman"/>
                <w:color w:val="auto"/>
                <w:kern w:val="0"/>
                <w:sz w:val="21"/>
                <w:szCs w:val="21"/>
                <w:highlight w:val="none"/>
                <w:lang w:val="en-US" w:eastAsia="zh-CN"/>
              </w:rPr>
              <w:t>2</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黑冠山雀</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P. rubidiventris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东</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H</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53</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褐冠山雀</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P. dichrous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东</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H</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(二十</w:t>
            </w:r>
            <w:r>
              <w:rPr>
                <w:rFonts w:hint="eastAsia" w:cs="Times New Roman"/>
                <w:b/>
                <w:bCs/>
                <w:color w:val="auto"/>
                <w:kern w:val="0"/>
                <w:sz w:val="21"/>
                <w:szCs w:val="21"/>
                <w:highlight w:val="none"/>
                <w:lang w:val="en-US" w:eastAsia="zh-CN"/>
              </w:rPr>
              <w:t>六</w:t>
            </w:r>
            <w:r>
              <w:rPr>
                <w:rFonts w:cs="Times New Roman"/>
                <w:b/>
                <w:bCs/>
                <w:color w:val="auto"/>
                <w:kern w:val="0"/>
                <w:sz w:val="21"/>
                <w:szCs w:val="21"/>
                <w:highlight w:val="none"/>
              </w:rPr>
              <w:t>)</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长尾山雀科</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Aegithalidae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54</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color w:val="auto"/>
                <w:kern w:val="0"/>
                <w:sz w:val="21"/>
                <w:szCs w:val="21"/>
                <w:highlight w:val="none"/>
              </w:rPr>
            </w:pPr>
            <w:r>
              <w:rPr>
                <w:rFonts w:cs="Times New Roman"/>
                <w:color w:val="auto"/>
                <w:kern w:val="0"/>
                <w:sz w:val="21"/>
                <w:szCs w:val="21"/>
                <w:highlight w:val="none"/>
              </w:rPr>
              <w:t>银喉长尾山雀</w:t>
            </w:r>
          </w:p>
        </w:tc>
        <w:tc>
          <w:tcPr>
            <w:tcW w:w="148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both"/>
              <w:rPr>
                <w:rFonts w:cs="Times New Roman"/>
                <w:i/>
                <w:iCs/>
                <w:color w:val="auto"/>
                <w:kern w:val="0"/>
                <w:sz w:val="21"/>
                <w:szCs w:val="21"/>
                <w:highlight w:val="none"/>
              </w:rPr>
            </w:pPr>
            <w:r>
              <w:rPr>
                <w:rFonts w:cs="Times New Roman"/>
                <w:i/>
                <w:iCs/>
                <w:color w:val="auto"/>
                <w:kern w:val="0"/>
                <w:sz w:val="21"/>
                <w:szCs w:val="21"/>
                <w:highlight w:val="none"/>
              </w:rPr>
              <w:t>Aegithalos caudatus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U</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1"/>
                <w:szCs w:val="21"/>
                <w:highlight w:val="none"/>
              </w:rPr>
            </w:pPr>
            <w:r>
              <w:rPr>
                <w:rFonts w:cs="Times New Roman"/>
                <w:b/>
                <w:bCs/>
                <w:color w:val="auto"/>
                <w:kern w:val="0"/>
                <w:sz w:val="21"/>
                <w:szCs w:val="21"/>
                <w:highlight w:val="none"/>
              </w:rPr>
              <w:t>(</w:t>
            </w:r>
            <w:r>
              <w:rPr>
                <w:rFonts w:hint="eastAsia" w:cs="Times New Roman"/>
                <w:b/>
                <w:bCs/>
                <w:color w:val="auto"/>
                <w:kern w:val="0"/>
                <w:sz w:val="21"/>
                <w:szCs w:val="21"/>
                <w:highlight w:val="none"/>
                <w:lang w:val="en-US" w:eastAsia="zh-CN"/>
              </w:rPr>
              <w:t>二</w:t>
            </w:r>
            <w:r>
              <w:rPr>
                <w:rFonts w:cs="Times New Roman"/>
                <w:b/>
                <w:bCs/>
                <w:color w:val="auto"/>
                <w:kern w:val="0"/>
                <w:sz w:val="21"/>
                <w:szCs w:val="21"/>
                <w:highlight w:val="none"/>
              </w:rPr>
              <w:t>十</w:t>
            </w:r>
            <w:r>
              <w:rPr>
                <w:rFonts w:hint="eastAsia" w:cs="Times New Roman"/>
                <w:b/>
                <w:bCs/>
                <w:color w:val="auto"/>
                <w:kern w:val="0"/>
                <w:sz w:val="21"/>
                <w:szCs w:val="21"/>
                <w:highlight w:val="none"/>
                <w:lang w:val="en-US" w:eastAsia="zh-CN"/>
              </w:rPr>
              <w:t>七</w:t>
            </w:r>
            <w:r>
              <w:rPr>
                <w:rFonts w:cs="Times New Roman"/>
                <w:b/>
                <w:bCs/>
                <w:color w:val="auto"/>
                <w:kern w:val="0"/>
                <w:sz w:val="21"/>
                <w:szCs w:val="21"/>
                <w:highlight w:val="none"/>
              </w:rPr>
              <w:t>)</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雀科</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b/>
                <w:bCs/>
                <w:color w:val="auto"/>
                <w:kern w:val="0"/>
                <w:sz w:val="21"/>
                <w:szCs w:val="21"/>
                <w:highlight w:val="none"/>
              </w:rPr>
            </w:pPr>
            <w:r>
              <w:rPr>
                <w:rFonts w:cs="Times New Roman"/>
                <w:b/>
                <w:bCs/>
                <w:color w:val="auto"/>
                <w:kern w:val="0"/>
                <w:sz w:val="21"/>
                <w:szCs w:val="21"/>
                <w:highlight w:val="none"/>
              </w:rPr>
              <w:t>Fringillidae</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3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center"/>
              <w:rPr>
                <w:rFonts w:cs="Times New Roman"/>
                <w:color w:val="auto"/>
                <w:kern w:val="0"/>
                <w:sz w:val="21"/>
                <w:szCs w:val="21"/>
                <w:highlight w:val="none"/>
              </w:rPr>
            </w:pP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auto"/>
                <w:kern w:val="0"/>
                <w:sz w:val="21"/>
                <w:szCs w:val="21"/>
                <w:highlight w:val="none"/>
              </w:rPr>
            </w:pPr>
            <w:r>
              <w:rPr>
                <w:rFonts w:hint="eastAsia" w:cs="Times New Roman"/>
                <w:color w:val="auto"/>
                <w:kern w:val="0"/>
                <w:sz w:val="21"/>
                <w:szCs w:val="21"/>
                <w:highlight w:val="none"/>
                <w:lang w:val="en-US" w:eastAsia="zh-CN"/>
              </w:rPr>
              <w:t>5</w:t>
            </w:r>
            <w:r>
              <w:rPr>
                <w:rFonts w:cs="Times New Roman"/>
                <w:color w:val="auto"/>
                <w:kern w:val="0"/>
                <w:sz w:val="21"/>
                <w:szCs w:val="21"/>
                <w:highlight w:val="none"/>
              </w:rPr>
              <w:t>5</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left"/>
              <w:rPr>
                <w:rFonts w:cs="Times New Roman"/>
                <w:color w:val="auto"/>
                <w:kern w:val="0"/>
                <w:sz w:val="21"/>
                <w:szCs w:val="21"/>
                <w:highlight w:val="none"/>
              </w:rPr>
            </w:pPr>
            <w:r>
              <w:rPr>
                <w:rFonts w:cs="Times New Roman"/>
                <w:color w:val="auto"/>
                <w:kern w:val="0"/>
                <w:sz w:val="21"/>
                <w:szCs w:val="21"/>
                <w:highlight w:val="none"/>
              </w:rPr>
              <w:t>白腰雪雀</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0"/>
                <w:szCs w:val="20"/>
                <w:highlight w:val="none"/>
              </w:rPr>
              <w:t>Montifringilla taczanowskii</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I</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auto"/>
                <w:kern w:val="0"/>
                <w:sz w:val="21"/>
                <w:szCs w:val="21"/>
                <w:highlight w:val="none"/>
              </w:rPr>
            </w:pPr>
            <w:r>
              <w:rPr>
                <w:rFonts w:hint="eastAsia" w:cs="Times New Roman"/>
                <w:color w:val="auto"/>
                <w:kern w:val="0"/>
                <w:sz w:val="21"/>
                <w:szCs w:val="21"/>
                <w:highlight w:val="none"/>
                <w:lang w:val="en-US" w:eastAsia="zh-CN"/>
              </w:rPr>
              <w:t>5</w:t>
            </w:r>
            <w:r>
              <w:rPr>
                <w:rFonts w:cs="Times New Roman"/>
                <w:color w:val="auto"/>
                <w:kern w:val="0"/>
                <w:sz w:val="21"/>
                <w:szCs w:val="21"/>
                <w:highlight w:val="none"/>
              </w:rPr>
              <w:t>6</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left"/>
              <w:rPr>
                <w:rFonts w:cs="Times New Roman"/>
                <w:color w:val="auto"/>
                <w:kern w:val="0"/>
                <w:sz w:val="21"/>
                <w:szCs w:val="21"/>
                <w:highlight w:val="none"/>
              </w:rPr>
            </w:pPr>
            <w:r>
              <w:rPr>
                <w:rFonts w:cs="Times New Roman"/>
                <w:color w:val="auto"/>
                <w:kern w:val="0"/>
                <w:sz w:val="21"/>
                <w:szCs w:val="21"/>
                <w:highlight w:val="none"/>
              </w:rPr>
              <w:t>林岭雀</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Leucosticte nemoricola</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I</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auto"/>
                <w:kern w:val="0"/>
                <w:sz w:val="21"/>
                <w:szCs w:val="21"/>
                <w:highlight w:val="none"/>
              </w:rPr>
            </w:pPr>
            <w:r>
              <w:rPr>
                <w:rFonts w:hint="eastAsia" w:cs="Times New Roman"/>
                <w:color w:val="auto"/>
                <w:kern w:val="0"/>
                <w:sz w:val="21"/>
                <w:szCs w:val="21"/>
                <w:highlight w:val="none"/>
                <w:lang w:val="en-US" w:eastAsia="zh-CN"/>
              </w:rPr>
              <w:t>5</w:t>
            </w:r>
            <w:r>
              <w:rPr>
                <w:rFonts w:cs="Times New Roman"/>
                <w:color w:val="auto"/>
                <w:kern w:val="0"/>
                <w:sz w:val="21"/>
                <w:szCs w:val="21"/>
                <w:highlight w:val="none"/>
              </w:rPr>
              <w:t>7</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left"/>
              <w:rPr>
                <w:rFonts w:cs="Times New Roman"/>
                <w:color w:val="auto"/>
                <w:kern w:val="0"/>
                <w:sz w:val="21"/>
                <w:szCs w:val="21"/>
                <w:highlight w:val="none"/>
              </w:rPr>
            </w:pPr>
            <w:r>
              <w:rPr>
                <w:rFonts w:cs="Times New Roman"/>
                <w:color w:val="auto"/>
                <w:kern w:val="0"/>
                <w:sz w:val="21"/>
                <w:szCs w:val="21"/>
                <w:highlight w:val="none"/>
              </w:rPr>
              <w:t>白眉朱雀</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Carpodacus thura</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东</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H</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auto"/>
                <w:kern w:val="0"/>
                <w:sz w:val="21"/>
                <w:szCs w:val="21"/>
                <w:highlight w:val="none"/>
              </w:rPr>
            </w:pPr>
            <w:r>
              <w:rPr>
                <w:rFonts w:hint="eastAsia" w:cs="Times New Roman"/>
                <w:color w:val="auto"/>
                <w:kern w:val="0"/>
                <w:sz w:val="21"/>
                <w:szCs w:val="21"/>
                <w:highlight w:val="none"/>
                <w:lang w:val="en-US" w:eastAsia="zh-CN"/>
              </w:rPr>
              <w:t>5</w:t>
            </w:r>
            <w:r>
              <w:rPr>
                <w:rFonts w:cs="Times New Roman"/>
                <w:color w:val="auto"/>
                <w:kern w:val="0"/>
                <w:sz w:val="21"/>
                <w:szCs w:val="21"/>
                <w:highlight w:val="none"/>
              </w:rPr>
              <w:t>8</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left"/>
              <w:rPr>
                <w:rFonts w:cs="Times New Roman"/>
                <w:color w:val="auto"/>
                <w:kern w:val="0"/>
                <w:sz w:val="21"/>
                <w:szCs w:val="21"/>
                <w:highlight w:val="none"/>
              </w:rPr>
            </w:pPr>
            <w:r>
              <w:rPr>
                <w:rFonts w:cs="Times New Roman"/>
                <w:color w:val="auto"/>
                <w:kern w:val="0"/>
                <w:sz w:val="21"/>
                <w:szCs w:val="21"/>
                <w:highlight w:val="none"/>
              </w:rPr>
              <w:t>曙红朱雀</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C. eos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东</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H</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369"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auto"/>
                <w:kern w:val="0"/>
                <w:sz w:val="21"/>
                <w:szCs w:val="21"/>
                <w:highlight w:val="none"/>
              </w:rPr>
            </w:pPr>
            <w:r>
              <w:rPr>
                <w:rFonts w:hint="eastAsia" w:cs="Times New Roman"/>
                <w:color w:val="auto"/>
                <w:kern w:val="0"/>
                <w:sz w:val="21"/>
                <w:szCs w:val="21"/>
                <w:highlight w:val="none"/>
                <w:lang w:val="en-US" w:eastAsia="zh-CN"/>
              </w:rPr>
              <w:t>5</w:t>
            </w:r>
            <w:r>
              <w:rPr>
                <w:rFonts w:cs="Times New Roman"/>
                <w:color w:val="auto"/>
                <w:kern w:val="0"/>
                <w:sz w:val="21"/>
                <w:szCs w:val="21"/>
                <w:highlight w:val="none"/>
              </w:rPr>
              <w:t>9</w:t>
            </w:r>
          </w:p>
        </w:tc>
        <w:tc>
          <w:tcPr>
            <w:tcW w:w="934"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jc w:val="left"/>
              <w:rPr>
                <w:rFonts w:cs="Times New Roman"/>
                <w:color w:val="auto"/>
                <w:kern w:val="0"/>
                <w:sz w:val="21"/>
                <w:szCs w:val="21"/>
                <w:highlight w:val="none"/>
              </w:rPr>
            </w:pPr>
            <w:r>
              <w:rPr>
                <w:rFonts w:cs="Times New Roman"/>
                <w:color w:val="auto"/>
                <w:kern w:val="0"/>
                <w:sz w:val="21"/>
                <w:szCs w:val="21"/>
                <w:highlight w:val="none"/>
              </w:rPr>
              <w:t>灰头灰雀</w:t>
            </w:r>
          </w:p>
        </w:tc>
        <w:tc>
          <w:tcPr>
            <w:tcW w:w="1489" w:type="pct"/>
            <w:tcBorders>
              <w:top w:val="nil"/>
              <w:left w:val="nil"/>
              <w:bottom w:val="single" w:color="auto" w:sz="4" w:space="0"/>
              <w:right w:val="single" w:color="auto" w:sz="4" w:space="0"/>
            </w:tcBorders>
            <w:shd w:val="clear" w:color="auto" w:fill="auto"/>
            <w:noWrap/>
            <w:vAlign w:val="bottom"/>
          </w:tcPr>
          <w:p>
            <w:pPr>
              <w:widowControl/>
              <w:spacing w:line="240" w:lineRule="auto"/>
              <w:ind w:firstLine="0" w:firstLineChars="0"/>
              <w:rPr>
                <w:rFonts w:cs="Times New Roman"/>
                <w:i/>
                <w:iCs/>
                <w:color w:val="auto"/>
                <w:kern w:val="0"/>
                <w:sz w:val="21"/>
                <w:szCs w:val="21"/>
                <w:highlight w:val="none"/>
              </w:rPr>
            </w:pPr>
            <w:r>
              <w:rPr>
                <w:rFonts w:cs="Times New Roman"/>
                <w:i/>
                <w:iCs/>
                <w:color w:val="auto"/>
                <w:kern w:val="0"/>
                <w:sz w:val="21"/>
                <w:szCs w:val="21"/>
                <w:highlight w:val="none"/>
              </w:rPr>
              <w:t>Pyrrhula erythaca</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东</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H</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留</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r>
        <w:tblPrEx>
          <w:tblCellMar>
            <w:top w:w="0" w:type="dxa"/>
            <w:left w:w="108" w:type="dxa"/>
            <w:bottom w:w="0" w:type="dxa"/>
            <w:right w:w="108" w:type="dxa"/>
          </w:tblCellMar>
        </w:tblPrEx>
        <w:trPr>
          <w:trHeight w:val="525" w:hRule="exact"/>
          <w:jc w:val="center"/>
        </w:trPr>
        <w:tc>
          <w:tcPr>
            <w:tcW w:w="701"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auto"/>
                <w:kern w:val="0"/>
                <w:sz w:val="21"/>
                <w:szCs w:val="21"/>
                <w:highlight w:val="none"/>
              </w:rPr>
            </w:pPr>
            <w:r>
              <w:rPr>
                <w:rFonts w:hint="eastAsia" w:cs="Times New Roman"/>
                <w:color w:val="auto"/>
                <w:kern w:val="0"/>
                <w:sz w:val="21"/>
                <w:szCs w:val="21"/>
                <w:highlight w:val="none"/>
                <w:lang w:val="en-US" w:eastAsia="zh-CN"/>
              </w:rPr>
              <w:t>6</w:t>
            </w:r>
            <w:r>
              <w:rPr>
                <w:rFonts w:cs="Times New Roman"/>
                <w:color w:val="auto"/>
                <w:kern w:val="0"/>
                <w:sz w:val="21"/>
                <w:szCs w:val="21"/>
                <w:highlight w:val="none"/>
              </w:rPr>
              <w:t>0</w:t>
            </w:r>
          </w:p>
        </w:tc>
        <w:tc>
          <w:tcPr>
            <w:tcW w:w="934" w:type="pct"/>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exact"/>
              <w:ind w:firstLine="0" w:firstLineChars="0"/>
              <w:jc w:val="left"/>
              <w:textAlignment w:val="auto"/>
              <w:rPr>
                <w:rFonts w:cs="Times New Roman"/>
                <w:color w:val="auto"/>
                <w:kern w:val="0"/>
                <w:sz w:val="21"/>
                <w:szCs w:val="21"/>
                <w:highlight w:val="none"/>
              </w:rPr>
            </w:pPr>
            <w:r>
              <w:rPr>
                <w:rFonts w:cs="Times New Roman"/>
                <w:color w:val="auto"/>
                <w:kern w:val="0"/>
                <w:sz w:val="21"/>
                <w:szCs w:val="21"/>
                <w:highlight w:val="none"/>
              </w:rPr>
              <w:t>白斑翅拟蜡嘴雀</w:t>
            </w:r>
          </w:p>
        </w:tc>
        <w:tc>
          <w:tcPr>
            <w:tcW w:w="1489"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cs="Times New Roman"/>
                <w:i/>
                <w:iCs/>
                <w:color w:val="auto"/>
                <w:kern w:val="0"/>
                <w:sz w:val="21"/>
                <w:szCs w:val="21"/>
                <w:highlight w:val="none"/>
              </w:rPr>
            </w:pPr>
            <w:r>
              <w:rPr>
                <w:rFonts w:cs="Times New Roman"/>
                <w:i/>
                <w:iCs/>
                <w:color w:val="auto"/>
                <w:kern w:val="0"/>
                <w:sz w:val="21"/>
                <w:szCs w:val="21"/>
                <w:highlight w:val="none"/>
              </w:rPr>
              <w:t>Mycerobas carnipes</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p>
        </w:tc>
        <w:tc>
          <w:tcPr>
            <w:tcW w:w="270"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古</w:t>
            </w:r>
          </w:p>
        </w:tc>
        <w:tc>
          <w:tcPr>
            <w:tcW w:w="38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I</w:t>
            </w:r>
          </w:p>
        </w:tc>
        <w:tc>
          <w:tcPr>
            <w:tcW w:w="41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冬</w:t>
            </w:r>
          </w:p>
        </w:tc>
        <w:tc>
          <w:tcPr>
            <w:tcW w:w="389"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调查</w:t>
            </w:r>
          </w:p>
        </w:tc>
      </w:tr>
    </w:tbl>
    <w:p>
      <w:pPr>
        <w:spacing w:line="240" w:lineRule="auto"/>
        <w:ind w:firstLine="0" w:firstLineChars="0"/>
        <w:rPr>
          <w:sz w:val="18"/>
          <w:szCs w:val="18"/>
        </w:rPr>
      </w:pPr>
      <w:r>
        <w:rPr>
          <w:b/>
          <w:sz w:val="18"/>
          <w:szCs w:val="18"/>
        </w:rPr>
        <w:t>注</w:t>
      </w:r>
      <w:r>
        <w:rPr>
          <w:rFonts w:hint="eastAsia"/>
          <w:b/>
          <w:sz w:val="18"/>
          <w:szCs w:val="18"/>
        </w:rPr>
        <w:t>：</w:t>
      </w:r>
      <w:r>
        <w:rPr>
          <w:b/>
          <w:sz w:val="18"/>
          <w:szCs w:val="18"/>
        </w:rPr>
        <w:t>区系</w:t>
      </w:r>
      <w:r>
        <w:rPr>
          <w:rFonts w:hint="eastAsia"/>
          <w:b/>
          <w:sz w:val="18"/>
          <w:szCs w:val="18"/>
        </w:rPr>
        <w:t>：</w:t>
      </w:r>
      <w:r>
        <w:rPr>
          <w:rFonts w:hint="eastAsia"/>
          <w:sz w:val="18"/>
          <w:szCs w:val="18"/>
        </w:rPr>
        <w:t>广-</w:t>
      </w:r>
      <w:r>
        <w:rPr>
          <w:sz w:val="18"/>
          <w:szCs w:val="18"/>
        </w:rPr>
        <w:t>广布种</w:t>
      </w:r>
      <w:r>
        <w:rPr>
          <w:rFonts w:hint="eastAsia"/>
          <w:sz w:val="18"/>
          <w:szCs w:val="18"/>
        </w:rPr>
        <w:t>古-</w:t>
      </w:r>
      <w:r>
        <w:rPr>
          <w:sz w:val="18"/>
          <w:szCs w:val="18"/>
        </w:rPr>
        <w:t>古北界</w:t>
      </w:r>
      <w:r>
        <w:rPr>
          <w:rFonts w:hint="eastAsia"/>
          <w:sz w:val="18"/>
          <w:szCs w:val="18"/>
        </w:rPr>
        <w:t>东-</w:t>
      </w:r>
      <w:r>
        <w:rPr>
          <w:sz w:val="18"/>
          <w:szCs w:val="18"/>
        </w:rPr>
        <w:t>东洋界。</w:t>
      </w:r>
      <w:r>
        <w:rPr>
          <w:b/>
          <w:sz w:val="18"/>
          <w:szCs w:val="18"/>
        </w:rPr>
        <w:t>分布型：</w:t>
      </w:r>
      <w:r>
        <w:rPr>
          <w:sz w:val="18"/>
          <w:szCs w:val="18"/>
        </w:rPr>
        <w:t>O</w:t>
      </w:r>
      <w:r>
        <w:rPr>
          <w:rFonts w:hint="eastAsia"/>
          <w:sz w:val="18"/>
          <w:szCs w:val="18"/>
        </w:rPr>
        <w:t>-</w:t>
      </w:r>
      <w:r>
        <w:rPr>
          <w:sz w:val="18"/>
          <w:szCs w:val="18"/>
        </w:rPr>
        <w:t>广泛分布型； S</w:t>
      </w:r>
      <w:r>
        <w:rPr>
          <w:rFonts w:hint="eastAsia"/>
          <w:sz w:val="18"/>
          <w:szCs w:val="18"/>
        </w:rPr>
        <w:t>-</w:t>
      </w:r>
      <w:r>
        <w:rPr>
          <w:sz w:val="18"/>
          <w:szCs w:val="18"/>
        </w:rPr>
        <w:t>南中国型；H</w:t>
      </w:r>
      <w:r>
        <w:rPr>
          <w:rFonts w:hint="eastAsia"/>
          <w:sz w:val="18"/>
          <w:szCs w:val="18"/>
        </w:rPr>
        <w:t>-</w:t>
      </w:r>
      <w:r>
        <w:rPr>
          <w:sz w:val="18"/>
          <w:szCs w:val="18"/>
        </w:rPr>
        <w:t>喜马拉雅－横断山区型及云贵高原型；W</w:t>
      </w:r>
      <w:r>
        <w:rPr>
          <w:rFonts w:hint="eastAsia"/>
          <w:sz w:val="18"/>
          <w:szCs w:val="18"/>
        </w:rPr>
        <w:t>-</w:t>
      </w:r>
      <w:r>
        <w:rPr>
          <w:sz w:val="18"/>
          <w:szCs w:val="18"/>
        </w:rPr>
        <w:t>东洋型；</w:t>
      </w:r>
      <w:r>
        <w:rPr>
          <w:rFonts w:hint="eastAsia"/>
          <w:sz w:val="18"/>
          <w:szCs w:val="18"/>
        </w:rPr>
        <w:t>P（</w:t>
      </w:r>
      <w:r>
        <w:rPr>
          <w:sz w:val="18"/>
          <w:szCs w:val="18"/>
        </w:rPr>
        <w:t>I</w:t>
      </w:r>
      <w:r>
        <w:rPr>
          <w:rFonts w:hint="eastAsia"/>
          <w:sz w:val="18"/>
          <w:szCs w:val="18"/>
        </w:rPr>
        <w:t>）-</w:t>
      </w:r>
      <w:r>
        <w:rPr>
          <w:sz w:val="18"/>
          <w:szCs w:val="18"/>
        </w:rPr>
        <w:t>高地型；D：中亚型；U：古北型；C：全北型；M：东北型。</w:t>
      </w:r>
      <w:r>
        <w:rPr>
          <w:b/>
          <w:sz w:val="18"/>
          <w:szCs w:val="18"/>
        </w:rPr>
        <w:t>X：</w:t>
      </w:r>
      <w:r>
        <w:rPr>
          <w:sz w:val="18"/>
          <w:szCs w:val="18"/>
        </w:rPr>
        <w:t>东北-华北型; E</w:t>
      </w:r>
      <w:r>
        <w:rPr>
          <w:rFonts w:hint="eastAsia"/>
          <w:sz w:val="18"/>
          <w:szCs w:val="18"/>
          <w:lang w:eastAsia="zh-CN"/>
        </w:rPr>
        <w:t>：</w:t>
      </w:r>
      <w:r>
        <w:rPr>
          <w:sz w:val="18"/>
          <w:szCs w:val="18"/>
        </w:rPr>
        <w:t>季风型。</w:t>
      </w:r>
      <w:r>
        <w:rPr>
          <w:b/>
          <w:sz w:val="18"/>
          <w:szCs w:val="18"/>
        </w:rPr>
        <w:t>保护级别：</w:t>
      </w:r>
      <w:r>
        <w:rPr>
          <w:rFonts w:hint="eastAsia" w:ascii="宋体" w:hAnsi="宋体" w:cs="宋体"/>
          <w:sz w:val="18"/>
          <w:szCs w:val="18"/>
        </w:rPr>
        <w:t>Ⅰ</w:t>
      </w:r>
      <w:r>
        <w:rPr>
          <w:sz w:val="18"/>
          <w:szCs w:val="18"/>
        </w:rPr>
        <w:t>：国家</w:t>
      </w:r>
      <w:r>
        <w:rPr>
          <w:rFonts w:hint="eastAsia" w:ascii="宋体" w:hAnsi="宋体" w:cs="宋体"/>
          <w:sz w:val="18"/>
          <w:szCs w:val="18"/>
        </w:rPr>
        <w:t>Ⅰ</w:t>
      </w:r>
      <w:r>
        <w:rPr>
          <w:sz w:val="18"/>
          <w:szCs w:val="18"/>
        </w:rPr>
        <w:t>级重点保护动物；</w:t>
      </w:r>
      <w:r>
        <w:rPr>
          <w:rFonts w:hint="eastAsia" w:ascii="宋体" w:hAnsi="宋体" w:cs="宋体"/>
          <w:sz w:val="18"/>
          <w:szCs w:val="18"/>
        </w:rPr>
        <w:t>Ⅱ</w:t>
      </w:r>
      <w:r>
        <w:rPr>
          <w:rFonts w:hint="eastAsia"/>
          <w:sz w:val="18"/>
          <w:szCs w:val="18"/>
          <w:lang w:eastAsia="zh-CN"/>
        </w:rPr>
        <w:t>：</w:t>
      </w:r>
      <w:r>
        <w:rPr>
          <w:sz w:val="18"/>
          <w:szCs w:val="18"/>
        </w:rPr>
        <w:t>国家</w:t>
      </w:r>
      <w:r>
        <w:rPr>
          <w:rFonts w:hint="eastAsia" w:ascii="宋体" w:hAnsi="宋体" w:cs="宋体"/>
          <w:sz w:val="18"/>
          <w:szCs w:val="18"/>
        </w:rPr>
        <w:t>Ⅱ</w:t>
      </w:r>
      <w:r>
        <w:rPr>
          <w:sz w:val="18"/>
          <w:szCs w:val="18"/>
        </w:rPr>
        <w:t>级重点保护动物；省：四川省重点保护动物</w:t>
      </w:r>
      <w:r>
        <w:rPr>
          <w:rFonts w:hint="eastAsia"/>
          <w:sz w:val="18"/>
          <w:szCs w:val="18"/>
          <w:lang w:eastAsia="zh-CN"/>
        </w:rPr>
        <w:t>。</w:t>
      </w:r>
      <w:r>
        <w:rPr>
          <w:b/>
          <w:bCs/>
          <w:sz w:val="18"/>
          <w:szCs w:val="18"/>
        </w:rPr>
        <w:t>居留型：</w:t>
      </w:r>
      <w:r>
        <w:rPr>
          <w:sz w:val="18"/>
          <w:szCs w:val="18"/>
        </w:rPr>
        <w:t>R：留鸟；S：夏候鸟；W：冬候鸟；M：旅鸟。</w:t>
      </w:r>
    </w:p>
    <w:p>
      <w:pPr>
        <w:ind w:firstLine="0" w:firstLineChars="0"/>
      </w:pPr>
    </w:p>
    <w:p>
      <w:r>
        <w:br w:type="page"/>
      </w:r>
    </w:p>
    <w:p>
      <w:pPr>
        <w:ind w:firstLine="0" w:firstLineChars="0"/>
        <w:jc w:val="center"/>
        <w:rPr>
          <w:b/>
        </w:rPr>
      </w:pPr>
      <w:r>
        <w:rPr>
          <w:rFonts w:hint="eastAsia"/>
          <w:b/>
        </w:rPr>
        <w:t>e评价区兽类名录</w:t>
      </w:r>
    </w:p>
    <w:tbl>
      <w:tblPr>
        <w:tblStyle w:val="42"/>
        <w:tblW w:w="4869" w:type="pct"/>
        <w:jc w:val="center"/>
        <w:tblLayout w:type="autofit"/>
        <w:tblCellMar>
          <w:top w:w="0" w:type="dxa"/>
          <w:left w:w="108" w:type="dxa"/>
          <w:bottom w:w="0" w:type="dxa"/>
          <w:right w:w="108" w:type="dxa"/>
        </w:tblCellMar>
      </w:tblPr>
      <w:tblGrid>
        <w:gridCol w:w="862"/>
        <w:gridCol w:w="1250"/>
        <w:gridCol w:w="2251"/>
        <w:gridCol w:w="693"/>
        <w:gridCol w:w="839"/>
        <w:gridCol w:w="804"/>
        <w:gridCol w:w="761"/>
        <w:gridCol w:w="845"/>
      </w:tblGrid>
      <w:tr>
        <w:tblPrEx>
          <w:tblCellMar>
            <w:top w:w="0" w:type="dxa"/>
            <w:left w:w="108" w:type="dxa"/>
            <w:bottom w:w="0" w:type="dxa"/>
            <w:right w:w="108" w:type="dxa"/>
          </w:tblCellMar>
        </w:tblPrEx>
        <w:trPr>
          <w:trHeight w:val="288" w:hRule="atLeast"/>
          <w:tblHeader/>
          <w:jc w:val="center"/>
        </w:trPr>
        <w:tc>
          <w:tcPr>
            <w:tcW w:w="519" w:type="pct"/>
            <w:tcBorders>
              <w:top w:val="single" w:color="auto" w:sz="4" w:space="0"/>
              <w:left w:val="single" w:color="auto" w:sz="4" w:space="0"/>
              <w:bottom w:val="single" w:color="auto" w:sz="4" w:space="0"/>
              <w:right w:val="single" w:color="auto" w:sz="4" w:space="0"/>
            </w:tcBorders>
            <w:shd w:val="clear" w:color="auto" w:fill="CFCECE" w:themeFill="background2" w:themeFillShade="E5"/>
            <w:noWrap/>
            <w:vAlign w:val="center"/>
          </w:tcPr>
          <w:p>
            <w:pPr>
              <w:widowControl/>
              <w:spacing w:line="240" w:lineRule="auto"/>
              <w:ind w:firstLine="0" w:firstLineChars="0"/>
              <w:jc w:val="center"/>
              <w:rPr>
                <w:rFonts w:cs="Times New Roman"/>
                <w:b/>
                <w:bCs/>
                <w:color w:val="000000"/>
                <w:kern w:val="0"/>
                <w:sz w:val="22"/>
              </w:rPr>
            </w:pPr>
            <w:r>
              <w:rPr>
                <w:rFonts w:cs="Times New Roman"/>
                <w:b/>
                <w:bCs/>
                <w:color w:val="000000"/>
                <w:kern w:val="0"/>
                <w:sz w:val="22"/>
              </w:rPr>
              <w:t>序号</w:t>
            </w:r>
          </w:p>
        </w:tc>
        <w:tc>
          <w:tcPr>
            <w:tcW w:w="752"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物种</w:t>
            </w:r>
          </w:p>
        </w:tc>
        <w:tc>
          <w:tcPr>
            <w:tcW w:w="1355"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拉丁名</w:t>
            </w:r>
          </w:p>
        </w:tc>
        <w:tc>
          <w:tcPr>
            <w:tcW w:w="417"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保护级别</w:t>
            </w:r>
          </w:p>
        </w:tc>
        <w:tc>
          <w:tcPr>
            <w:tcW w:w="505"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区系</w:t>
            </w:r>
          </w:p>
        </w:tc>
        <w:tc>
          <w:tcPr>
            <w:tcW w:w="484"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分布型</w:t>
            </w:r>
          </w:p>
        </w:tc>
        <w:tc>
          <w:tcPr>
            <w:tcW w:w="458"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种群数量</w:t>
            </w:r>
          </w:p>
        </w:tc>
        <w:tc>
          <w:tcPr>
            <w:tcW w:w="506" w:type="pct"/>
            <w:tcBorders>
              <w:top w:val="single" w:color="auto" w:sz="4" w:space="0"/>
              <w:left w:val="nil"/>
              <w:bottom w:val="single" w:color="auto" w:sz="4" w:space="0"/>
              <w:right w:val="single" w:color="auto" w:sz="4" w:space="0"/>
            </w:tcBorders>
            <w:shd w:val="clear" w:color="auto" w:fill="CFCECE" w:themeFill="background2" w:themeFillShade="E5"/>
            <w:vAlign w:val="center"/>
          </w:tcPr>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数据</w:t>
            </w:r>
          </w:p>
          <w:p>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来源</w:t>
            </w:r>
          </w:p>
        </w:tc>
      </w:tr>
      <w:tr>
        <w:tblPrEx>
          <w:tblCellMar>
            <w:top w:w="0" w:type="dxa"/>
            <w:left w:w="108" w:type="dxa"/>
            <w:bottom w:w="0" w:type="dxa"/>
            <w:right w:w="108" w:type="dxa"/>
          </w:tblCellMar>
        </w:tblPrEx>
        <w:trPr>
          <w:trHeight w:val="434" w:hRule="atLeast"/>
          <w:jc w:val="center"/>
        </w:trPr>
        <w:tc>
          <w:tcPr>
            <w:tcW w:w="519" w:type="pct"/>
            <w:tcBorders>
              <w:top w:val="nil"/>
              <w:left w:val="single" w:color="auto" w:sz="4" w:space="0"/>
              <w:bottom w:val="single" w:color="auto" w:sz="4" w:space="0"/>
              <w:right w:val="single" w:color="auto" w:sz="4" w:space="0"/>
            </w:tcBorders>
            <w:shd w:val="clear" w:color="auto" w:fill="E7E6E6" w:themeFill="background2"/>
            <w:noWrap/>
            <w:vAlign w:val="center"/>
          </w:tcPr>
          <w:p>
            <w:pPr>
              <w:widowControl/>
              <w:spacing w:line="240" w:lineRule="auto"/>
              <w:ind w:firstLine="0" w:firstLineChars="0"/>
              <w:jc w:val="both"/>
              <w:rPr>
                <w:rFonts w:hint="eastAsia" w:eastAsia="宋体" w:cs="Times New Roman"/>
                <w:b/>
                <w:bCs/>
                <w:color w:val="000000"/>
                <w:kern w:val="0"/>
                <w:sz w:val="22"/>
                <w:lang w:eastAsia="zh-CN"/>
              </w:rPr>
            </w:pPr>
            <w:r>
              <w:rPr>
                <w:rFonts w:hint="eastAsia" w:cs="Times New Roman"/>
                <w:b/>
                <w:bCs/>
                <w:color w:val="000000"/>
                <w:kern w:val="0"/>
                <w:sz w:val="22"/>
                <w:lang w:val="en-US" w:eastAsia="zh-CN"/>
              </w:rPr>
              <w:t>一</w:t>
            </w:r>
          </w:p>
        </w:tc>
        <w:tc>
          <w:tcPr>
            <w:tcW w:w="752" w:type="pct"/>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食肉目</w:t>
            </w:r>
          </w:p>
        </w:tc>
        <w:tc>
          <w:tcPr>
            <w:tcW w:w="3727" w:type="pct"/>
            <w:gridSpan w:val="6"/>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jc w:val="left"/>
              <w:rPr>
                <w:rFonts w:cs="Times New Roman"/>
                <w:color w:val="000000"/>
                <w:kern w:val="0"/>
                <w:sz w:val="21"/>
                <w:szCs w:val="21"/>
              </w:rPr>
            </w:pPr>
            <w:r>
              <w:rPr>
                <w:rFonts w:cs="Times New Roman"/>
                <w:b/>
                <w:bCs/>
                <w:color w:val="000000"/>
                <w:kern w:val="0"/>
                <w:sz w:val="21"/>
                <w:szCs w:val="21"/>
              </w:rPr>
              <w:t>CARNIVORA</w:t>
            </w:r>
          </w:p>
        </w:tc>
      </w:tr>
      <w:tr>
        <w:tblPrEx>
          <w:tblCellMar>
            <w:top w:w="0" w:type="dxa"/>
            <w:left w:w="108" w:type="dxa"/>
            <w:bottom w:w="0" w:type="dxa"/>
            <w:right w:w="108" w:type="dxa"/>
          </w:tblCellMar>
        </w:tblPrEx>
        <w:trPr>
          <w:trHeight w:val="288" w:hRule="atLeas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000000"/>
                <w:kern w:val="0"/>
                <w:sz w:val="22"/>
              </w:rPr>
            </w:pPr>
            <w:r>
              <w:rPr>
                <w:rFonts w:cs="Times New Roman"/>
                <w:b/>
                <w:bCs/>
                <w:color w:val="000000"/>
                <w:kern w:val="0"/>
                <w:sz w:val="22"/>
              </w:rPr>
              <w:t>(</w:t>
            </w:r>
            <w:r>
              <w:rPr>
                <w:rFonts w:hint="eastAsia" w:cs="Times New Roman"/>
                <w:b/>
                <w:bCs/>
                <w:color w:val="000000"/>
                <w:kern w:val="0"/>
                <w:sz w:val="22"/>
                <w:lang w:val="en-US" w:eastAsia="zh-CN"/>
              </w:rPr>
              <w:t>一</w:t>
            </w:r>
            <w:r>
              <w:rPr>
                <w:rFonts w:cs="Times New Roman"/>
                <w:b/>
                <w:bCs/>
                <w:color w:val="000000"/>
                <w:kern w:val="0"/>
                <w:sz w:val="22"/>
              </w:rPr>
              <w:t>)</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犬科</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Canidae</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r>
      <w:tr>
        <w:tblPrEx>
          <w:tblCellMar>
            <w:top w:w="0" w:type="dxa"/>
            <w:left w:w="108" w:type="dxa"/>
            <w:bottom w:w="0" w:type="dxa"/>
            <w:right w:w="108" w:type="dxa"/>
          </w:tblCellMar>
        </w:tblPrEx>
        <w:trPr>
          <w:trHeight w:val="288" w:hRule="atLeas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2"/>
                <w:lang w:eastAsia="zh-CN"/>
              </w:rPr>
            </w:pPr>
            <w:r>
              <w:rPr>
                <w:rFonts w:hint="eastAsia" w:cs="Times New Roman"/>
                <w:color w:val="auto"/>
                <w:kern w:val="0"/>
                <w:sz w:val="22"/>
                <w:lang w:val="en-US" w:eastAsia="zh-CN"/>
              </w:rPr>
              <w:t>1</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rPr>
            </w:pPr>
            <w:r>
              <w:rPr>
                <w:rFonts w:cs="Times New Roman"/>
                <w:color w:val="auto"/>
                <w:kern w:val="0"/>
                <w:sz w:val="21"/>
                <w:szCs w:val="21"/>
              </w:rPr>
              <w:t>狼</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rPr>
            </w:pPr>
            <w:r>
              <w:rPr>
                <w:rFonts w:cs="Times New Roman"/>
                <w:i/>
                <w:iCs/>
                <w:color w:val="auto"/>
                <w:kern w:val="0"/>
                <w:sz w:val="21"/>
                <w:szCs w:val="21"/>
              </w:rPr>
              <w:t xml:space="preserve">Canis lupus </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II</w:t>
            </w: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古</w:t>
            </w: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C</w:t>
            </w: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w:t>
            </w: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lang w:eastAsia="zh-CN"/>
              </w:rPr>
            </w:pPr>
            <w:r>
              <w:rPr>
                <w:rFonts w:hint="eastAsia" w:cs="Times New Roman"/>
                <w:color w:val="auto"/>
                <w:kern w:val="0"/>
                <w:sz w:val="21"/>
                <w:szCs w:val="21"/>
                <w:lang w:eastAsia="zh-CN"/>
              </w:rPr>
              <w:t>调查</w:t>
            </w:r>
          </w:p>
        </w:tc>
      </w:tr>
      <w:tr>
        <w:tblPrEx>
          <w:tblCellMar>
            <w:top w:w="0" w:type="dxa"/>
            <w:left w:w="108" w:type="dxa"/>
            <w:bottom w:w="0" w:type="dxa"/>
            <w:right w:w="108" w:type="dxa"/>
          </w:tblCellMar>
        </w:tblPrEx>
        <w:trPr>
          <w:trHeight w:val="288" w:hRule="atLeas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2"/>
                <w:lang w:eastAsia="zh-CN"/>
              </w:rPr>
            </w:pPr>
            <w:r>
              <w:rPr>
                <w:rFonts w:hint="eastAsia" w:cs="Times New Roman"/>
                <w:color w:val="auto"/>
                <w:kern w:val="0"/>
                <w:sz w:val="22"/>
                <w:lang w:val="en-US" w:eastAsia="zh-CN"/>
              </w:rPr>
              <w:t>2</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rPr>
            </w:pPr>
            <w:r>
              <w:rPr>
                <w:rFonts w:cs="Times New Roman"/>
                <w:color w:val="auto"/>
                <w:kern w:val="0"/>
                <w:sz w:val="21"/>
                <w:szCs w:val="21"/>
              </w:rPr>
              <w:t>藏狐</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rPr>
            </w:pPr>
            <w:r>
              <w:rPr>
                <w:rFonts w:cs="Times New Roman"/>
                <w:i/>
                <w:iCs/>
                <w:color w:val="auto"/>
                <w:kern w:val="0"/>
                <w:sz w:val="21"/>
                <w:szCs w:val="21"/>
              </w:rPr>
              <w:t>Vulpes</w:t>
            </w:r>
            <w:r>
              <w:rPr>
                <w:rFonts w:hint="eastAsia" w:cs="Times New Roman"/>
                <w:i/>
                <w:iCs/>
                <w:color w:val="auto"/>
                <w:kern w:val="0"/>
                <w:sz w:val="21"/>
                <w:szCs w:val="21"/>
              </w:rPr>
              <w:t xml:space="preserve"> ferrilata</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II</w:t>
            </w: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古</w:t>
            </w: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P</w:t>
            </w: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w:t>
            </w: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lang w:eastAsia="zh-CN"/>
              </w:rPr>
            </w:pPr>
            <w:r>
              <w:rPr>
                <w:rFonts w:hint="eastAsia" w:cs="Times New Roman"/>
                <w:color w:val="auto"/>
                <w:kern w:val="0"/>
                <w:sz w:val="21"/>
                <w:szCs w:val="21"/>
                <w:lang w:eastAsia="zh-CN"/>
              </w:rPr>
              <w:t>调查</w:t>
            </w:r>
          </w:p>
        </w:tc>
      </w:tr>
      <w:tr>
        <w:tblPrEx>
          <w:tblCellMar>
            <w:top w:w="0" w:type="dxa"/>
            <w:left w:w="108" w:type="dxa"/>
            <w:bottom w:w="0" w:type="dxa"/>
            <w:right w:w="108" w:type="dxa"/>
          </w:tblCellMar>
        </w:tblPrEx>
        <w:trPr>
          <w:trHeight w:val="288" w:hRule="atLeas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auto"/>
                <w:kern w:val="0"/>
                <w:sz w:val="22"/>
              </w:rPr>
            </w:pPr>
            <w:r>
              <w:rPr>
                <w:rFonts w:cs="Times New Roman"/>
                <w:b/>
                <w:bCs/>
                <w:color w:val="auto"/>
                <w:kern w:val="0"/>
                <w:sz w:val="22"/>
              </w:rPr>
              <w:t>(</w:t>
            </w:r>
            <w:r>
              <w:rPr>
                <w:rFonts w:hint="eastAsia" w:cs="Times New Roman"/>
                <w:b/>
                <w:bCs/>
                <w:color w:val="auto"/>
                <w:kern w:val="0"/>
                <w:sz w:val="22"/>
                <w:lang w:val="en-US" w:eastAsia="zh-CN"/>
              </w:rPr>
              <w:t>二</w:t>
            </w:r>
            <w:r>
              <w:rPr>
                <w:rFonts w:cs="Times New Roman"/>
                <w:b/>
                <w:bCs/>
                <w:color w:val="auto"/>
                <w:kern w:val="0"/>
                <w:sz w:val="22"/>
              </w:rPr>
              <w:t>)</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rPr>
            </w:pPr>
            <w:r>
              <w:rPr>
                <w:rFonts w:cs="Times New Roman"/>
                <w:b/>
                <w:bCs/>
                <w:color w:val="auto"/>
                <w:kern w:val="0"/>
                <w:sz w:val="21"/>
                <w:szCs w:val="21"/>
              </w:rPr>
              <w:t>鼬科</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auto"/>
                <w:kern w:val="0"/>
                <w:sz w:val="21"/>
                <w:szCs w:val="21"/>
              </w:rPr>
            </w:pPr>
            <w:r>
              <w:rPr>
                <w:rFonts w:cs="Times New Roman"/>
                <w:b/>
                <w:bCs/>
                <w:color w:val="auto"/>
                <w:kern w:val="0"/>
                <w:sz w:val="21"/>
                <w:szCs w:val="21"/>
              </w:rPr>
              <w:t>Mustelidae</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p>
        </w:tc>
      </w:tr>
      <w:tr>
        <w:tblPrEx>
          <w:tblCellMar>
            <w:top w:w="0" w:type="dxa"/>
            <w:left w:w="108" w:type="dxa"/>
            <w:bottom w:w="0" w:type="dxa"/>
            <w:right w:w="108" w:type="dxa"/>
          </w:tblCellMar>
        </w:tblPrEx>
        <w:trPr>
          <w:trHeight w:val="288" w:hRule="atLeas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auto"/>
                <w:kern w:val="0"/>
                <w:sz w:val="22"/>
                <w:lang w:eastAsia="zh-CN"/>
              </w:rPr>
            </w:pPr>
            <w:r>
              <w:rPr>
                <w:rFonts w:hint="eastAsia" w:cs="Times New Roman"/>
                <w:color w:val="auto"/>
                <w:kern w:val="0"/>
                <w:sz w:val="22"/>
                <w:lang w:val="en-US" w:eastAsia="zh-CN"/>
              </w:rPr>
              <w:t>3</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auto"/>
                <w:kern w:val="0"/>
                <w:sz w:val="21"/>
                <w:szCs w:val="21"/>
              </w:rPr>
            </w:pPr>
            <w:r>
              <w:rPr>
                <w:rFonts w:cs="Times New Roman"/>
                <w:color w:val="auto"/>
                <w:kern w:val="0"/>
                <w:sz w:val="21"/>
                <w:szCs w:val="21"/>
              </w:rPr>
              <w:t>香鼬</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auto"/>
                <w:kern w:val="0"/>
                <w:sz w:val="21"/>
                <w:szCs w:val="21"/>
              </w:rPr>
            </w:pPr>
            <w:r>
              <w:rPr>
                <w:rFonts w:cs="Times New Roman"/>
                <w:i/>
                <w:iCs/>
                <w:color w:val="auto"/>
                <w:kern w:val="0"/>
                <w:sz w:val="21"/>
                <w:szCs w:val="21"/>
              </w:rPr>
              <w:t>M. altaica</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省</w:t>
            </w: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广</w:t>
            </w: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O</w:t>
            </w: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auto"/>
                <w:kern w:val="0"/>
                <w:sz w:val="21"/>
                <w:szCs w:val="21"/>
              </w:rPr>
            </w:pPr>
            <w:r>
              <w:rPr>
                <w:rFonts w:cs="Times New Roman"/>
                <w:color w:val="auto"/>
                <w:kern w:val="0"/>
                <w:sz w:val="21"/>
                <w:szCs w:val="21"/>
              </w:rPr>
              <w:t>++</w:t>
            </w: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auto"/>
                <w:kern w:val="0"/>
                <w:sz w:val="21"/>
                <w:szCs w:val="21"/>
                <w:lang w:eastAsia="zh-CN"/>
              </w:rPr>
            </w:pPr>
            <w:r>
              <w:rPr>
                <w:rFonts w:hint="eastAsia" w:cs="Times New Roman"/>
                <w:color w:val="auto"/>
                <w:kern w:val="0"/>
                <w:sz w:val="21"/>
                <w:szCs w:val="21"/>
                <w:lang w:eastAsia="zh-CN"/>
              </w:rPr>
              <w:t>调查</w:t>
            </w:r>
          </w:p>
        </w:tc>
      </w:tr>
      <w:tr>
        <w:tblPrEx>
          <w:tblCellMar>
            <w:top w:w="0" w:type="dxa"/>
            <w:left w:w="108" w:type="dxa"/>
            <w:bottom w:w="0" w:type="dxa"/>
            <w:right w:w="108" w:type="dxa"/>
          </w:tblCellMar>
        </w:tblPrEx>
        <w:trPr>
          <w:trHeight w:val="288" w:hRule="atLeas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000000"/>
                <w:kern w:val="0"/>
                <w:sz w:val="22"/>
                <w:lang w:eastAsia="zh-CN"/>
              </w:rPr>
            </w:pPr>
            <w:r>
              <w:rPr>
                <w:rFonts w:hint="eastAsia" w:cs="Times New Roman"/>
                <w:color w:val="000000"/>
                <w:kern w:val="0"/>
                <w:sz w:val="22"/>
                <w:lang w:val="en-US" w:eastAsia="zh-CN"/>
              </w:rPr>
              <w:t>4</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rPr>
            </w:pPr>
            <w:r>
              <w:rPr>
                <w:rFonts w:cs="Times New Roman"/>
                <w:color w:val="000000"/>
                <w:kern w:val="0"/>
                <w:sz w:val="21"/>
                <w:szCs w:val="21"/>
              </w:rPr>
              <w:t>猪獾</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000000"/>
                <w:kern w:val="0"/>
                <w:sz w:val="21"/>
                <w:szCs w:val="21"/>
              </w:rPr>
            </w:pPr>
            <w:r>
              <w:rPr>
                <w:rFonts w:cs="Times New Roman"/>
                <w:i/>
                <w:iCs/>
                <w:color w:val="000000"/>
                <w:kern w:val="0"/>
                <w:sz w:val="21"/>
                <w:szCs w:val="21"/>
              </w:rPr>
              <w:t>Arctonyx collaris</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东</w:t>
            </w: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W</w:t>
            </w: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w:t>
            </w: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调查</w:t>
            </w:r>
          </w:p>
        </w:tc>
      </w:tr>
      <w:tr>
        <w:tblPrEx>
          <w:tblCellMar>
            <w:top w:w="0" w:type="dxa"/>
            <w:left w:w="108" w:type="dxa"/>
            <w:bottom w:w="0" w:type="dxa"/>
            <w:right w:w="108" w:type="dxa"/>
          </w:tblCellMar>
        </w:tblPrEx>
        <w:trPr>
          <w:trHeight w:val="288" w:hRule="atLeas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000000"/>
                <w:kern w:val="0"/>
                <w:sz w:val="22"/>
              </w:rPr>
            </w:pPr>
            <w:r>
              <w:rPr>
                <w:rFonts w:cs="Times New Roman"/>
                <w:b/>
                <w:bCs/>
                <w:color w:val="000000"/>
                <w:kern w:val="0"/>
                <w:sz w:val="22"/>
              </w:rPr>
              <w:t>(</w:t>
            </w:r>
            <w:r>
              <w:rPr>
                <w:rFonts w:hint="eastAsia" w:cs="Times New Roman"/>
                <w:b/>
                <w:bCs/>
                <w:color w:val="000000"/>
                <w:kern w:val="0"/>
                <w:sz w:val="22"/>
                <w:lang w:val="en-US" w:eastAsia="zh-CN"/>
              </w:rPr>
              <w:t>三</w:t>
            </w:r>
            <w:r>
              <w:rPr>
                <w:rFonts w:cs="Times New Roman"/>
                <w:b/>
                <w:bCs/>
                <w:color w:val="000000"/>
                <w:kern w:val="0"/>
                <w:sz w:val="22"/>
              </w:rPr>
              <w:t>)</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猫科</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Felidae</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r>
      <w:tr>
        <w:tblPrEx>
          <w:tblCellMar>
            <w:top w:w="0" w:type="dxa"/>
            <w:left w:w="108" w:type="dxa"/>
            <w:bottom w:w="0" w:type="dxa"/>
            <w:right w:w="108" w:type="dxa"/>
          </w:tblCellMar>
        </w:tblPrEx>
        <w:trPr>
          <w:trHeight w:val="288" w:hRule="atLeas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000000"/>
                <w:kern w:val="0"/>
                <w:sz w:val="22"/>
                <w:lang w:eastAsia="zh-CN"/>
              </w:rPr>
            </w:pPr>
            <w:r>
              <w:rPr>
                <w:rFonts w:hint="eastAsia" w:cs="Times New Roman"/>
                <w:color w:val="000000"/>
                <w:kern w:val="0"/>
                <w:sz w:val="22"/>
                <w:lang w:val="en-US" w:eastAsia="zh-CN"/>
              </w:rPr>
              <w:t>5</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rPr>
            </w:pPr>
            <w:r>
              <w:rPr>
                <w:rFonts w:cs="Times New Roman"/>
                <w:color w:val="000000"/>
                <w:kern w:val="0"/>
                <w:sz w:val="21"/>
                <w:szCs w:val="21"/>
              </w:rPr>
              <w:t>兔狲</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000000"/>
                <w:kern w:val="0"/>
                <w:sz w:val="21"/>
                <w:szCs w:val="21"/>
              </w:rPr>
            </w:pPr>
            <w:r>
              <w:rPr>
                <w:rFonts w:cs="Times New Roman"/>
                <w:i/>
                <w:iCs/>
                <w:color w:val="000000"/>
                <w:kern w:val="0"/>
                <w:sz w:val="21"/>
                <w:szCs w:val="21"/>
              </w:rPr>
              <w:t>F. manul</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II</w:t>
            </w: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古</w:t>
            </w: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D</w:t>
            </w: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w:t>
            </w: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调查</w:t>
            </w:r>
          </w:p>
        </w:tc>
      </w:tr>
      <w:tr>
        <w:tblPrEx>
          <w:tblCellMar>
            <w:top w:w="0" w:type="dxa"/>
            <w:left w:w="108" w:type="dxa"/>
            <w:bottom w:w="0" w:type="dxa"/>
            <w:right w:w="108" w:type="dxa"/>
          </w:tblCellMar>
        </w:tblPrEx>
        <w:trPr>
          <w:trHeight w:val="470" w:hRule="atLeast"/>
          <w:jc w:val="center"/>
        </w:trPr>
        <w:tc>
          <w:tcPr>
            <w:tcW w:w="519" w:type="pct"/>
            <w:tcBorders>
              <w:top w:val="nil"/>
              <w:left w:val="single" w:color="auto" w:sz="4" w:space="0"/>
              <w:bottom w:val="single" w:color="auto" w:sz="4" w:space="0"/>
              <w:right w:val="single" w:color="auto" w:sz="4" w:space="0"/>
            </w:tcBorders>
            <w:shd w:val="clear" w:color="auto" w:fill="E7E6E6" w:themeFill="background2"/>
            <w:noWrap/>
            <w:vAlign w:val="center"/>
          </w:tcPr>
          <w:p>
            <w:pPr>
              <w:widowControl/>
              <w:spacing w:line="240" w:lineRule="auto"/>
              <w:ind w:firstLine="0" w:firstLineChars="0"/>
              <w:jc w:val="left"/>
              <w:rPr>
                <w:rFonts w:hint="eastAsia" w:eastAsia="宋体" w:cs="Times New Roman"/>
                <w:color w:val="000000"/>
                <w:kern w:val="0"/>
                <w:sz w:val="22"/>
                <w:lang w:eastAsia="zh-CN"/>
              </w:rPr>
            </w:pPr>
            <w:r>
              <w:rPr>
                <w:rFonts w:hint="eastAsia" w:cs="Times New Roman"/>
                <w:color w:val="000000"/>
                <w:kern w:val="0"/>
                <w:sz w:val="22"/>
                <w:lang w:val="en-US" w:eastAsia="zh-CN"/>
              </w:rPr>
              <w:t>二</w:t>
            </w:r>
          </w:p>
        </w:tc>
        <w:tc>
          <w:tcPr>
            <w:tcW w:w="752" w:type="pct"/>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偶蹄目</w:t>
            </w:r>
          </w:p>
        </w:tc>
        <w:tc>
          <w:tcPr>
            <w:tcW w:w="3727" w:type="pct"/>
            <w:gridSpan w:val="6"/>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jc w:val="left"/>
              <w:rPr>
                <w:rFonts w:cs="Times New Roman"/>
                <w:color w:val="000000"/>
                <w:kern w:val="0"/>
                <w:sz w:val="21"/>
                <w:szCs w:val="21"/>
              </w:rPr>
            </w:pPr>
            <w:r>
              <w:rPr>
                <w:rFonts w:cs="Times New Roman"/>
                <w:b/>
                <w:bCs/>
                <w:color w:val="000000"/>
                <w:kern w:val="0"/>
                <w:sz w:val="21"/>
                <w:szCs w:val="21"/>
              </w:rPr>
              <w:t>ARTIODACTYLA</w:t>
            </w:r>
          </w:p>
        </w:tc>
      </w:tr>
      <w:tr>
        <w:tblPrEx>
          <w:tblCellMar>
            <w:top w:w="0" w:type="dxa"/>
            <w:left w:w="108" w:type="dxa"/>
            <w:bottom w:w="0" w:type="dxa"/>
            <w:right w:w="108" w:type="dxa"/>
          </w:tblCellMar>
        </w:tblPrEx>
        <w:trPr>
          <w:trHeight w:val="288" w:hRule="atLeas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000000"/>
                <w:kern w:val="0"/>
                <w:sz w:val="22"/>
              </w:rPr>
            </w:pPr>
            <w:r>
              <w:rPr>
                <w:rFonts w:cs="Times New Roman"/>
                <w:b/>
                <w:bCs/>
                <w:color w:val="000000"/>
                <w:kern w:val="0"/>
                <w:sz w:val="22"/>
              </w:rPr>
              <w:t>(</w:t>
            </w:r>
            <w:r>
              <w:rPr>
                <w:rFonts w:hint="eastAsia" w:cs="Times New Roman"/>
                <w:b/>
                <w:bCs/>
                <w:color w:val="000000"/>
                <w:kern w:val="0"/>
                <w:sz w:val="22"/>
                <w:lang w:val="en-US" w:eastAsia="zh-CN"/>
              </w:rPr>
              <w:t>四</w:t>
            </w:r>
            <w:r>
              <w:rPr>
                <w:rFonts w:cs="Times New Roman"/>
                <w:b/>
                <w:bCs/>
                <w:color w:val="000000"/>
                <w:kern w:val="0"/>
                <w:sz w:val="22"/>
              </w:rPr>
              <w:t>)</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牛科</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Bovidae</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r>
      <w:tr>
        <w:tblPrEx>
          <w:tblCellMar>
            <w:top w:w="0" w:type="dxa"/>
            <w:left w:w="108" w:type="dxa"/>
            <w:bottom w:w="0" w:type="dxa"/>
            <w:right w:w="108" w:type="dxa"/>
          </w:tblCellMar>
        </w:tblPrEx>
        <w:trPr>
          <w:trHeight w:val="358" w:hRule="atLeas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000000"/>
                <w:kern w:val="0"/>
                <w:sz w:val="22"/>
                <w:lang w:eastAsia="zh-CN"/>
              </w:rPr>
            </w:pPr>
            <w:r>
              <w:rPr>
                <w:rFonts w:hint="eastAsia" w:cs="Times New Roman"/>
                <w:color w:val="000000"/>
                <w:kern w:val="0"/>
                <w:sz w:val="22"/>
                <w:lang w:val="en-US" w:eastAsia="zh-CN"/>
              </w:rPr>
              <w:t>6</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rPr>
            </w:pPr>
            <w:r>
              <w:rPr>
                <w:rFonts w:cs="Times New Roman"/>
                <w:color w:val="000000"/>
                <w:kern w:val="0"/>
                <w:sz w:val="21"/>
                <w:szCs w:val="21"/>
              </w:rPr>
              <w:t xml:space="preserve">鬣羚 </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000000"/>
                <w:kern w:val="0"/>
                <w:sz w:val="21"/>
                <w:szCs w:val="21"/>
              </w:rPr>
            </w:pPr>
            <w:r>
              <w:rPr>
                <w:rFonts w:cs="Times New Roman"/>
                <w:i/>
                <w:iCs/>
                <w:color w:val="000000"/>
                <w:kern w:val="0"/>
                <w:sz w:val="18"/>
                <w:szCs w:val="18"/>
              </w:rPr>
              <w:t>Capricornis  sumatraensis</w:t>
            </w:r>
            <w:r>
              <w:rPr>
                <w:rFonts w:cs="Times New Roman"/>
                <w:i/>
                <w:iCs/>
                <w:color w:val="000000"/>
                <w:kern w:val="0"/>
                <w:sz w:val="16"/>
                <w:szCs w:val="16"/>
              </w:rPr>
              <w:t xml:space="preserve"> </w:t>
            </w:r>
            <w:r>
              <w:rPr>
                <w:rFonts w:cs="Times New Roman"/>
                <w:i/>
                <w:iCs/>
                <w:color w:val="000000"/>
                <w:kern w:val="0"/>
                <w:sz w:val="21"/>
                <w:szCs w:val="21"/>
              </w:rPr>
              <w:t xml:space="preserve">   </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东</w:t>
            </w: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W</w:t>
            </w: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w:t>
            </w: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调查</w:t>
            </w:r>
          </w:p>
        </w:tc>
      </w:tr>
      <w:tr>
        <w:tblPrEx>
          <w:tblCellMar>
            <w:top w:w="0" w:type="dxa"/>
            <w:left w:w="108" w:type="dxa"/>
            <w:bottom w:w="0" w:type="dxa"/>
            <w:right w:w="108" w:type="dxa"/>
          </w:tblCellMar>
        </w:tblPrEx>
        <w:trPr>
          <w:trHeight w:val="470" w:hRule="atLeast"/>
          <w:jc w:val="center"/>
        </w:trPr>
        <w:tc>
          <w:tcPr>
            <w:tcW w:w="519" w:type="pct"/>
            <w:tcBorders>
              <w:top w:val="nil"/>
              <w:left w:val="single" w:color="auto" w:sz="4" w:space="0"/>
              <w:bottom w:val="single" w:color="auto" w:sz="4" w:space="0"/>
              <w:right w:val="single" w:color="auto" w:sz="4" w:space="0"/>
            </w:tcBorders>
            <w:shd w:val="clear" w:color="auto" w:fill="E7E6E6" w:themeFill="background2"/>
            <w:noWrap/>
            <w:vAlign w:val="center"/>
          </w:tcPr>
          <w:p>
            <w:pPr>
              <w:widowControl/>
              <w:spacing w:line="240" w:lineRule="auto"/>
              <w:ind w:firstLine="0" w:firstLineChars="0"/>
              <w:jc w:val="left"/>
              <w:rPr>
                <w:rFonts w:hint="eastAsia" w:eastAsia="宋体" w:cs="Times New Roman"/>
                <w:color w:val="000000"/>
                <w:kern w:val="0"/>
                <w:sz w:val="22"/>
                <w:lang w:eastAsia="zh-CN"/>
              </w:rPr>
            </w:pPr>
            <w:r>
              <w:rPr>
                <w:rFonts w:hint="eastAsia" w:cs="Times New Roman"/>
                <w:color w:val="000000"/>
                <w:kern w:val="0"/>
                <w:sz w:val="22"/>
                <w:lang w:val="en-US" w:eastAsia="zh-CN"/>
              </w:rPr>
              <w:t>三</w:t>
            </w:r>
          </w:p>
        </w:tc>
        <w:tc>
          <w:tcPr>
            <w:tcW w:w="752" w:type="pct"/>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啮齿目</w:t>
            </w:r>
          </w:p>
        </w:tc>
        <w:tc>
          <w:tcPr>
            <w:tcW w:w="3727" w:type="pct"/>
            <w:gridSpan w:val="6"/>
            <w:tcBorders>
              <w:top w:val="nil"/>
              <w:left w:val="nil"/>
              <w:bottom w:val="single" w:color="auto" w:sz="4" w:space="0"/>
              <w:right w:val="single" w:color="auto" w:sz="4" w:space="0"/>
            </w:tcBorders>
            <w:shd w:val="clear" w:color="auto" w:fill="E7E6E6" w:themeFill="background2"/>
            <w:vAlign w:val="center"/>
          </w:tcPr>
          <w:p>
            <w:pPr>
              <w:widowControl/>
              <w:spacing w:line="240" w:lineRule="auto"/>
              <w:ind w:firstLine="0" w:firstLineChars="0"/>
              <w:jc w:val="left"/>
              <w:rPr>
                <w:rFonts w:cs="Times New Roman"/>
                <w:color w:val="000000"/>
                <w:kern w:val="0"/>
                <w:sz w:val="21"/>
                <w:szCs w:val="21"/>
              </w:rPr>
            </w:pPr>
            <w:r>
              <w:rPr>
                <w:rFonts w:cs="Times New Roman"/>
                <w:b/>
                <w:bCs/>
                <w:color w:val="000000"/>
                <w:kern w:val="0"/>
                <w:sz w:val="21"/>
                <w:szCs w:val="21"/>
              </w:rPr>
              <w:t>RODENTIA</w:t>
            </w:r>
          </w:p>
        </w:tc>
      </w:tr>
      <w:tr>
        <w:tblPrEx>
          <w:tblCellMar>
            <w:top w:w="0" w:type="dxa"/>
            <w:left w:w="108" w:type="dxa"/>
            <w:bottom w:w="0" w:type="dxa"/>
            <w:right w:w="108" w:type="dxa"/>
          </w:tblCellMar>
        </w:tblPrEx>
        <w:trPr>
          <w:trHeight w:val="369" w:hRule="exac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000000"/>
                <w:kern w:val="0"/>
                <w:sz w:val="22"/>
              </w:rPr>
            </w:pPr>
            <w:r>
              <w:rPr>
                <w:rFonts w:cs="Times New Roman"/>
                <w:b/>
                <w:bCs/>
                <w:color w:val="000000"/>
                <w:kern w:val="0"/>
                <w:sz w:val="22"/>
              </w:rPr>
              <w:t>(</w:t>
            </w:r>
            <w:r>
              <w:rPr>
                <w:rFonts w:hint="eastAsia" w:cs="Times New Roman"/>
                <w:b/>
                <w:bCs/>
                <w:color w:val="000000"/>
                <w:kern w:val="0"/>
                <w:sz w:val="22"/>
                <w:lang w:val="en-US" w:eastAsia="zh-CN"/>
              </w:rPr>
              <w:t>五</w:t>
            </w:r>
            <w:r>
              <w:rPr>
                <w:rFonts w:cs="Times New Roman"/>
                <w:b/>
                <w:bCs/>
                <w:color w:val="000000"/>
                <w:kern w:val="0"/>
                <w:sz w:val="22"/>
              </w:rPr>
              <w:t>)</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松鼠科</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Sciuridae</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r>
      <w:tr>
        <w:tblPrEx>
          <w:tblCellMar>
            <w:top w:w="0" w:type="dxa"/>
            <w:left w:w="108" w:type="dxa"/>
            <w:bottom w:w="0" w:type="dxa"/>
            <w:right w:w="108" w:type="dxa"/>
          </w:tblCellMar>
        </w:tblPrEx>
        <w:trPr>
          <w:trHeight w:val="503" w:hRule="exac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000000"/>
                <w:kern w:val="0"/>
                <w:sz w:val="22"/>
                <w:lang w:eastAsia="zh-CN"/>
              </w:rPr>
            </w:pPr>
            <w:r>
              <w:rPr>
                <w:rFonts w:hint="eastAsia" w:cs="Times New Roman"/>
                <w:color w:val="000000"/>
                <w:kern w:val="0"/>
                <w:sz w:val="22"/>
                <w:lang w:val="en-US" w:eastAsia="zh-CN"/>
              </w:rPr>
              <w:t>7</w:t>
            </w:r>
          </w:p>
        </w:tc>
        <w:tc>
          <w:tcPr>
            <w:tcW w:w="752" w:type="pct"/>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exact"/>
              <w:ind w:firstLine="0" w:firstLineChars="0"/>
              <w:jc w:val="left"/>
              <w:textAlignment w:val="auto"/>
              <w:rPr>
                <w:rFonts w:cs="Times New Roman"/>
                <w:color w:val="000000"/>
                <w:kern w:val="0"/>
                <w:sz w:val="21"/>
                <w:szCs w:val="21"/>
              </w:rPr>
            </w:pPr>
            <w:r>
              <w:rPr>
                <w:rFonts w:cs="Times New Roman"/>
                <w:color w:val="000000"/>
                <w:kern w:val="0"/>
                <w:sz w:val="21"/>
                <w:szCs w:val="21"/>
              </w:rPr>
              <w:t>喜马拉雅旱獭</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000000"/>
                <w:kern w:val="0"/>
                <w:sz w:val="21"/>
                <w:szCs w:val="21"/>
              </w:rPr>
            </w:pPr>
            <w:r>
              <w:rPr>
                <w:rFonts w:cs="Times New Roman"/>
                <w:i/>
                <w:iCs/>
                <w:color w:val="000000"/>
                <w:kern w:val="0"/>
                <w:sz w:val="21"/>
                <w:szCs w:val="21"/>
              </w:rPr>
              <w:t>Marmota himalayana</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古</w:t>
            </w: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P</w:t>
            </w: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w:t>
            </w: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调查</w:t>
            </w:r>
          </w:p>
        </w:tc>
      </w:tr>
      <w:tr>
        <w:tblPrEx>
          <w:tblCellMar>
            <w:top w:w="0" w:type="dxa"/>
            <w:left w:w="108" w:type="dxa"/>
            <w:bottom w:w="0" w:type="dxa"/>
            <w:right w:w="108" w:type="dxa"/>
          </w:tblCellMar>
        </w:tblPrEx>
        <w:trPr>
          <w:trHeight w:val="369" w:hRule="exac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000000"/>
                <w:kern w:val="0"/>
                <w:sz w:val="22"/>
              </w:rPr>
            </w:pPr>
            <w:r>
              <w:rPr>
                <w:rFonts w:cs="Times New Roman"/>
                <w:b/>
                <w:bCs/>
                <w:color w:val="000000"/>
                <w:kern w:val="0"/>
                <w:sz w:val="22"/>
              </w:rPr>
              <w:t>(</w:t>
            </w:r>
            <w:r>
              <w:rPr>
                <w:rFonts w:hint="eastAsia" w:cs="Times New Roman"/>
                <w:b/>
                <w:bCs/>
                <w:color w:val="000000"/>
                <w:kern w:val="0"/>
                <w:sz w:val="22"/>
                <w:lang w:val="en-US" w:eastAsia="zh-CN"/>
              </w:rPr>
              <w:t>六</w:t>
            </w:r>
            <w:r>
              <w:rPr>
                <w:rFonts w:cs="Times New Roman"/>
                <w:b/>
                <w:bCs/>
                <w:color w:val="000000"/>
                <w:kern w:val="0"/>
                <w:sz w:val="22"/>
              </w:rPr>
              <w:t>)</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鼠科</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Muridae</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r>
      <w:tr>
        <w:tblPrEx>
          <w:tblCellMar>
            <w:top w:w="0" w:type="dxa"/>
            <w:left w:w="108" w:type="dxa"/>
            <w:bottom w:w="0" w:type="dxa"/>
            <w:right w:w="108" w:type="dxa"/>
          </w:tblCellMar>
        </w:tblPrEx>
        <w:trPr>
          <w:trHeight w:val="369" w:hRule="exac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000000"/>
                <w:kern w:val="0"/>
                <w:sz w:val="22"/>
                <w:lang w:eastAsia="zh-CN"/>
              </w:rPr>
            </w:pPr>
            <w:r>
              <w:rPr>
                <w:rFonts w:hint="eastAsia" w:cs="Times New Roman"/>
                <w:color w:val="000000"/>
                <w:kern w:val="0"/>
                <w:sz w:val="22"/>
                <w:lang w:val="en-US" w:eastAsia="zh-CN"/>
              </w:rPr>
              <w:t>8</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rPr>
            </w:pPr>
            <w:r>
              <w:rPr>
                <w:rFonts w:cs="Times New Roman"/>
                <w:color w:val="000000"/>
                <w:kern w:val="0"/>
                <w:sz w:val="21"/>
                <w:szCs w:val="21"/>
              </w:rPr>
              <w:t>大林姬鼠</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000000"/>
                <w:kern w:val="0"/>
                <w:sz w:val="21"/>
                <w:szCs w:val="21"/>
              </w:rPr>
            </w:pPr>
            <w:r>
              <w:rPr>
                <w:rFonts w:cs="Times New Roman"/>
                <w:i/>
                <w:iCs/>
                <w:color w:val="000000"/>
                <w:kern w:val="0"/>
                <w:sz w:val="21"/>
                <w:szCs w:val="21"/>
              </w:rPr>
              <w:t xml:space="preserve">A. peninsulae </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古</w:t>
            </w: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X</w:t>
            </w: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w:t>
            </w: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调查</w:t>
            </w:r>
          </w:p>
        </w:tc>
      </w:tr>
      <w:tr>
        <w:tblPrEx>
          <w:tblCellMar>
            <w:top w:w="0" w:type="dxa"/>
            <w:left w:w="108" w:type="dxa"/>
            <w:bottom w:w="0" w:type="dxa"/>
            <w:right w:w="108" w:type="dxa"/>
          </w:tblCellMar>
        </w:tblPrEx>
        <w:trPr>
          <w:trHeight w:val="369" w:hRule="exac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s="Times New Roman"/>
                <w:color w:val="000000"/>
                <w:kern w:val="0"/>
                <w:sz w:val="22"/>
                <w:lang w:val="en-US" w:eastAsia="zh-CN"/>
              </w:rPr>
            </w:pPr>
            <w:r>
              <w:rPr>
                <w:rFonts w:hint="eastAsia" w:cs="Times New Roman"/>
                <w:color w:val="000000"/>
                <w:kern w:val="0"/>
                <w:sz w:val="22"/>
                <w:lang w:val="en-US" w:eastAsia="zh-CN"/>
              </w:rPr>
              <w:t>9</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rPr>
            </w:pPr>
            <w:r>
              <w:rPr>
                <w:rFonts w:cs="Times New Roman"/>
                <w:color w:val="000000"/>
                <w:kern w:val="0"/>
                <w:sz w:val="21"/>
                <w:szCs w:val="21"/>
              </w:rPr>
              <w:t>社鼠</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000000"/>
                <w:kern w:val="0"/>
                <w:sz w:val="21"/>
                <w:szCs w:val="21"/>
              </w:rPr>
            </w:pPr>
            <w:r>
              <w:rPr>
                <w:rFonts w:cs="Times New Roman"/>
                <w:i/>
                <w:iCs/>
                <w:color w:val="000000"/>
                <w:kern w:val="0"/>
                <w:sz w:val="21"/>
                <w:szCs w:val="21"/>
              </w:rPr>
              <w:t xml:space="preserve">Niviventer confucianus </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东</w:t>
            </w: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W</w:t>
            </w: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w:t>
            </w: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调查</w:t>
            </w:r>
          </w:p>
        </w:tc>
      </w:tr>
      <w:tr>
        <w:tblPrEx>
          <w:tblCellMar>
            <w:top w:w="0" w:type="dxa"/>
            <w:left w:w="108" w:type="dxa"/>
            <w:bottom w:w="0" w:type="dxa"/>
            <w:right w:w="108" w:type="dxa"/>
          </w:tblCellMar>
        </w:tblPrEx>
        <w:trPr>
          <w:trHeight w:val="369" w:hRule="exac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s="Times New Roman"/>
                <w:color w:val="000000"/>
                <w:kern w:val="0"/>
                <w:sz w:val="22"/>
                <w:lang w:val="en-US" w:eastAsia="zh-CN"/>
              </w:rPr>
            </w:pPr>
            <w:r>
              <w:rPr>
                <w:rFonts w:hint="eastAsia" w:cs="Times New Roman"/>
                <w:color w:val="000000"/>
                <w:kern w:val="0"/>
                <w:sz w:val="22"/>
                <w:lang w:val="en-US" w:eastAsia="zh-CN"/>
              </w:rPr>
              <w:t>10</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rPr>
            </w:pPr>
            <w:r>
              <w:rPr>
                <w:rFonts w:cs="Times New Roman"/>
                <w:color w:val="000000"/>
                <w:kern w:val="0"/>
                <w:sz w:val="21"/>
                <w:szCs w:val="21"/>
              </w:rPr>
              <w:t>褐家鼠</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000000"/>
                <w:kern w:val="0"/>
                <w:sz w:val="21"/>
                <w:szCs w:val="21"/>
              </w:rPr>
            </w:pPr>
            <w:r>
              <w:rPr>
                <w:rFonts w:cs="Times New Roman"/>
                <w:i/>
                <w:iCs/>
                <w:color w:val="000000"/>
                <w:kern w:val="0"/>
                <w:sz w:val="21"/>
                <w:szCs w:val="21"/>
              </w:rPr>
              <w:t>Rattus norvegicus</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古</w:t>
            </w: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U</w:t>
            </w: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w:t>
            </w: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调查</w:t>
            </w:r>
          </w:p>
        </w:tc>
      </w:tr>
      <w:tr>
        <w:tblPrEx>
          <w:tblCellMar>
            <w:top w:w="0" w:type="dxa"/>
            <w:left w:w="108" w:type="dxa"/>
            <w:bottom w:w="0" w:type="dxa"/>
            <w:right w:w="108" w:type="dxa"/>
          </w:tblCellMar>
        </w:tblPrEx>
        <w:trPr>
          <w:trHeight w:val="369" w:hRule="exac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000000"/>
                <w:kern w:val="0"/>
                <w:sz w:val="22"/>
              </w:rPr>
            </w:pPr>
            <w:r>
              <w:rPr>
                <w:rFonts w:cs="Times New Roman"/>
                <w:b/>
                <w:bCs/>
                <w:color w:val="000000"/>
                <w:kern w:val="0"/>
                <w:sz w:val="22"/>
              </w:rPr>
              <w:t>(</w:t>
            </w:r>
            <w:r>
              <w:rPr>
                <w:rFonts w:hint="eastAsia" w:cs="Times New Roman"/>
                <w:b/>
                <w:bCs/>
                <w:color w:val="000000"/>
                <w:kern w:val="0"/>
                <w:sz w:val="22"/>
                <w:lang w:val="en-US" w:eastAsia="zh-CN"/>
              </w:rPr>
              <w:t>七</w:t>
            </w:r>
            <w:r>
              <w:rPr>
                <w:rFonts w:cs="Times New Roman"/>
                <w:b/>
                <w:bCs/>
                <w:color w:val="000000"/>
                <w:kern w:val="0"/>
                <w:sz w:val="22"/>
              </w:rPr>
              <w:t>)</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仓鼠科</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Cricetidae</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r>
      <w:tr>
        <w:tblPrEx>
          <w:tblCellMar>
            <w:top w:w="0" w:type="dxa"/>
            <w:left w:w="108" w:type="dxa"/>
            <w:bottom w:w="0" w:type="dxa"/>
            <w:right w:w="108" w:type="dxa"/>
          </w:tblCellMar>
        </w:tblPrEx>
        <w:trPr>
          <w:trHeight w:val="369" w:hRule="exac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000000"/>
                <w:kern w:val="0"/>
                <w:sz w:val="22"/>
                <w:lang w:eastAsia="zh-CN"/>
              </w:rPr>
            </w:pPr>
            <w:r>
              <w:rPr>
                <w:rFonts w:cs="Times New Roman"/>
                <w:color w:val="000000"/>
                <w:kern w:val="0"/>
                <w:sz w:val="22"/>
              </w:rPr>
              <w:t>1</w:t>
            </w:r>
            <w:r>
              <w:rPr>
                <w:rFonts w:hint="eastAsia" w:cs="Times New Roman"/>
                <w:color w:val="000000"/>
                <w:kern w:val="0"/>
                <w:sz w:val="22"/>
                <w:lang w:val="en-US" w:eastAsia="zh-CN"/>
              </w:rPr>
              <w:t>1</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rPr>
            </w:pPr>
            <w:r>
              <w:rPr>
                <w:rFonts w:cs="Times New Roman"/>
                <w:color w:val="000000"/>
                <w:kern w:val="0"/>
                <w:sz w:val="21"/>
                <w:szCs w:val="21"/>
              </w:rPr>
              <w:t>长尾仓鼠</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000000"/>
                <w:kern w:val="0"/>
                <w:sz w:val="21"/>
                <w:szCs w:val="21"/>
              </w:rPr>
            </w:pPr>
            <w:r>
              <w:rPr>
                <w:rFonts w:cs="Times New Roman"/>
                <w:i/>
                <w:iCs/>
                <w:color w:val="000000"/>
                <w:kern w:val="0"/>
                <w:sz w:val="18"/>
                <w:szCs w:val="18"/>
              </w:rPr>
              <w:t>Cricetulus longicaudatus</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古</w:t>
            </w: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D</w:t>
            </w: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w:t>
            </w: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调查</w:t>
            </w:r>
          </w:p>
        </w:tc>
      </w:tr>
      <w:tr>
        <w:tblPrEx>
          <w:tblCellMar>
            <w:top w:w="0" w:type="dxa"/>
            <w:left w:w="108" w:type="dxa"/>
            <w:bottom w:w="0" w:type="dxa"/>
            <w:right w:w="108" w:type="dxa"/>
          </w:tblCellMar>
        </w:tblPrEx>
        <w:trPr>
          <w:trHeight w:val="369" w:hRule="exac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000000"/>
                <w:kern w:val="0"/>
                <w:sz w:val="22"/>
              </w:rPr>
            </w:pPr>
            <w:r>
              <w:rPr>
                <w:rFonts w:cs="Times New Roman"/>
                <w:b/>
                <w:bCs/>
                <w:color w:val="000000"/>
                <w:kern w:val="0"/>
                <w:sz w:val="22"/>
              </w:rPr>
              <w:t>(</w:t>
            </w:r>
            <w:r>
              <w:rPr>
                <w:rFonts w:hint="eastAsia" w:cs="Times New Roman"/>
                <w:b/>
                <w:bCs/>
                <w:color w:val="000000"/>
                <w:kern w:val="0"/>
                <w:sz w:val="22"/>
                <w:lang w:val="en-US" w:eastAsia="zh-CN"/>
              </w:rPr>
              <w:t>八</w:t>
            </w:r>
            <w:r>
              <w:rPr>
                <w:rFonts w:cs="Times New Roman"/>
                <w:b/>
                <w:bCs/>
                <w:color w:val="000000"/>
                <w:kern w:val="0"/>
                <w:sz w:val="22"/>
              </w:rPr>
              <w:t>)</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田鼠科</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Microtidae</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r>
      <w:tr>
        <w:tblPrEx>
          <w:tblCellMar>
            <w:top w:w="0" w:type="dxa"/>
            <w:left w:w="108" w:type="dxa"/>
            <w:bottom w:w="0" w:type="dxa"/>
            <w:right w:w="108" w:type="dxa"/>
          </w:tblCellMar>
        </w:tblPrEx>
        <w:trPr>
          <w:trHeight w:val="369" w:hRule="exac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color w:val="000000"/>
                <w:kern w:val="0"/>
                <w:sz w:val="22"/>
                <w:lang w:eastAsia="zh-CN"/>
              </w:rPr>
            </w:pPr>
            <w:r>
              <w:rPr>
                <w:rFonts w:cs="Times New Roman"/>
                <w:color w:val="000000"/>
                <w:kern w:val="0"/>
                <w:sz w:val="22"/>
              </w:rPr>
              <w:t>1</w:t>
            </w:r>
            <w:r>
              <w:rPr>
                <w:rFonts w:hint="eastAsia" w:cs="Times New Roman"/>
                <w:color w:val="000000"/>
                <w:kern w:val="0"/>
                <w:sz w:val="22"/>
                <w:lang w:val="en-US" w:eastAsia="zh-CN"/>
              </w:rPr>
              <w:t>2</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rPr>
            </w:pPr>
            <w:r>
              <w:rPr>
                <w:rFonts w:cs="Times New Roman"/>
                <w:color w:val="000000"/>
                <w:kern w:val="0"/>
                <w:sz w:val="21"/>
                <w:szCs w:val="21"/>
              </w:rPr>
              <w:t>松田鼠</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000000"/>
                <w:kern w:val="0"/>
                <w:sz w:val="21"/>
                <w:szCs w:val="21"/>
              </w:rPr>
            </w:pPr>
            <w:r>
              <w:rPr>
                <w:rFonts w:cs="Times New Roman"/>
                <w:i/>
                <w:iCs/>
                <w:color w:val="000000"/>
                <w:kern w:val="0"/>
                <w:sz w:val="21"/>
                <w:szCs w:val="21"/>
              </w:rPr>
              <w:t>Pitymys irene</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古</w:t>
            </w: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P</w:t>
            </w: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w:t>
            </w: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调查</w:t>
            </w:r>
          </w:p>
        </w:tc>
      </w:tr>
      <w:tr>
        <w:tblPrEx>
          <w:tblCellMar>
            <w:top w:w="0" w:type="dxa"/>
            <w:left w:w="108" w:type="dxa"/>
            <w:bottom w:w="0" w:type="dxa"/>
            <w:right w:w="108" w:type="dxa"/>
          </w:tblCellMar>
        </w:tblPrEx>
        <w:trPr>
          <w:trHeight w:val="369" w:hRule="exac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000000"/>
                <w:kern w:val="0"/>
                <w:sz w:val="22"/>
              </w:rPr>
            </w:pPr>
            <w:r>
              <w:rPr>
                <w:rFonts w:cs="Times New Roman"/>
                <w:b/>
                <w:bCs/>
                <w:color w:val="000000"/>
                <w:kern w:val="0"/>
                <w:sz w:val="22"/>
              </w:rPr>
              <w:t>(</w:t>
            </w:r>
            <w:r>
              <w:rPr>
                <w:rFonts w:hint="eastAsia" w:cs="Times New Roman"/>
                <w:b/>
                <w:bCs/>
                <w:color w:val="000000"/>
                <w:kern w:val="0"/>
                <w:sz w:val="22"/>
                <w:lang w:val="en-US" w:eastAsia="zh-CN"/>
              </w:rPr>
              <w:t>九</w:t>
            </w:r>
            <w:r>
              <w:rPr>
                <w:rFonts w:cs="Times New Roman"/>
                <w:b/>
                <w:bCs/>
                <w:color w:val="000000"/>
                <w:kern w:val="0"/>
                <w:sz w:val="22"/>
              </w:rPr>
              <w:t>)</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鼢鼠科</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Myospalacidae</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48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color w:val="000000"/>
                <w:kern w:val="0"/>
                <w:sz w:val="21"/>
                <w:szCs w:val="21"/>
              </w:rPr>
            </w:pP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r>
      <w:tr>
        <w:trPr>
          <w:trHeight w:val="369" w:hRule="exac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s="Times New Roman"/>
                <w:color w:val="000000"/>
                <w:kern w:val="0"/>
                <w:sz w:val="22"/>
                <w:lang w:val="en-US" w:eastAsia="zh-CN"/>
              </w:rPr>
            </w:pPr>
            <w:r>
              <w:rPr>
                <w:rFonts w:hint="eastAsia" w:cs="Times New Roman"/>
                <w:color w:val="000000"/>
                <w:kern w:val="0"/>
                <w:sz w:val="22"/>
                <w:lang w:val="en-US" w:eastAsia="zh-CN"/>
              </w:rPr>
              <w:t>13</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rPr>
            </w:pPr>
            <w:r>
              <w:rPr>
                <w:rFonts w:cs="Times New Roman"/>
                <w:color w:val="000000"/>
                <w:kern w:val="0"/>
                <w:sz w:val="21"/>
                <w:szCs w:val="21"/>
              </w:rPr>
              <w:t>高原鼢鼠</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000000"/>
                <w:kern w:val="0"/>
                <w:sz w:val="21"/>
                <w:szCs w:val="21"/>
              </w:rPr>
            </w:pPr>
            <w:r>
              <w:rPr>
                <w:rFonts w:cs="Times New Roman"/>
                <w:i/>
                <w:iCs/>
                <w:color w:val="000000"/>
                <w:kern w:val="0"/>
                <w:sz w:val="21"/>
                <w:szCs w:val="21"/>
              </w:rPr>
              <w:t>Myospalas baileyi</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古</w:t>
            </w: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P</w:t>
            </w: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w:t>
            </w: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调查</w:t>
            </w:r>
          </w:p>
        </w:tc>
      </w:tr>
      <w:tr>
        <w:tblPrEx>
          <w:tblCellMar>
            <w:top w:w="0" w:type="dxa"/>
            <w:left w:w="108" w:type="dxa"/>
            <w:bottom w:w="0" w:type="dxa"/>
            <w:right w:w="108" w:type="dxa"/>
          </w:tblCellMar>
        </w:tblPrEx>
        <w:trPr>
          <w:trHeight w:val="369" w:hRule="exac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s="Times New Roman"/>
                <w:b/>
                <w:bCs/>
                <w:color w:val="000000"/>
                <w:kern w:val="0"/>
                <w:sz w:val="22"/>
                <w:lang w:eastAsia="zh-CN"/>
              </w:rPr>
            </w:pPr>
            <w:r>
              <w:rPr>
                <w:rFonts w:hint="eastAsia" w:cs="Times New Roman"/>
                <w:b/>
                <w:bCs/>
                <w:color w:val="000000"/>
                <w:kern w:val="0"/>
                <w:sz w:val="22"/>
                <w:lang w:val="en-US" w:eastAsia="zh-CN"/>
              </w:rPr>
              <w:t>四</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 xml:space="preserve">兔形目 </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LAGOMORPHA</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r>
      <w:tr>
        <w:tblPrEx>
          <w:tblCellMar>
            <w:top w:w="0" w:type="dxa"/>
            <w:left w:w="108" w:type="dxa"/>
            <w:bottom w:w="0" w:type="dxa"/>
            <w:right w:w="108" w:type="dxa"/>
          </w:tblCellMar>
        </w:tblPrEx>
        <w:trPr>
          <w:trHeight w:val="369" w:hRule="exac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000000"/>
                <w:kern w:val="0"/>
                <w:sz w:val="22"/>
              </w:rPr>
            </w:pPr>
            <w:r>
              <w:rPr>
                <w:rFonts w:cs="Times New Roman"/>
                <w:b/>
                <w:bCs/>
                <w:color w:val="000000"/>
                <w:kern w:val="0"/>
                <w:sz w:val="22"/>
              </w:rPr>
              <w:t>(十)</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 xml:space="preserve">兔科 </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Leporidea</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r>
      <w:tr>
        <w:tblPrEx>
          <w:tblCellMar>
            <w:top w:w="0" w:type="dxa"/>
            <w:left w:w="108" w:type="dxa"/>
            <w:bottom w:w="0" w:type="dxa"/>
            <w:right w:w="108" w:type="dxa"/>
          </w:tblCellMar>
        </w:tblPrEx>
        <w:trPr>
          <w:trHeight w:val="369" w:hRule="exac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s="Times New Roman"/>
                <w:color w:val="000000"/>
                <w:kern w:val="0"/>
                <w:sz w:val="22"/>
                <w:lang w:val="en-US" w:eastAsia="zh-CN"/>
              </w:rPr>
            </w:pPr>
            <w:r>
              <w:rPr>
                <w:rFonts w:hint="eastAsia" w:cs="Times New Roman"/>
                <w:color w:val="000000"/>
                <w:kern w:val="0"/>
                <w:sz w:val="22"/>
                <w:lang w:val="en-US" w:eastAsia="zh-CN"/>
              </w:rPr>
              <w:t>14</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rPr>
            </w:pPr>
            <w:r>
              <w:rPr>
                <w:rFonts w:cs="Times New Roman"/>
                <w:color w:val="000000"/>
                <w:kern w:val="0"/>
                <w:sz w:val="21"/>
                <w:szCs w:val="21"/>
              </w:rPr>
              <w:t>灰尾兔</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000000"/>
                <w:kern w:val="0"/>
                <w:sz w:val="21"/>
                <w:szCs w:val="21"/>
              </w:rPr>
            </w:pPr>
            <w:r>
              <w:rPr>
                <w:rFonts w:cs="Times New Roman"/>
                <w:i/>
                <w:iCs/>
                <w:color w:val="000000"/>
                <w:kern w:val="0"/>
                <w:sz w:val="21"/>
                <w:szCs w:val="21"/>
              </w:rPr>
              <w:t>Lepus oiostolus</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古</w:t>
            </w: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P</w:t>
            </w: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w:t>
            </w: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调查</w:t>
            </w:r>
          </w:p>
        </w:tc>
      </w:tr>
      <w:tr>
        <w:tblPrEx>
          <w:tblCellMar>
            <w:top w:w="0" w:type="dxa"/>
            <w:left w:w="108" w:type="dxa"/>
            <w:bottom w:w="0" w:type="dxa"/>
            <w:right w:w="108" w:type="dxa"/>
          </w:tblCellMar>
        </w:tblPrEx>
        <w:trPr>
          <w:trHeight w:val="369" w:hRule="exac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cs="Times New Roman"/>
                <w:b/>
                <w:bCs/>
                <w:color w:val="000000"/>
                <w:kern w:val="0"/>
                <w:sz w:val="22"/>
              </w:rPr>
            </w:pPr>
            <w:r>
              <w:rPr>
                <w:rFonts w:cs="Times New Roman"/>
                <w:b/>
                <w:bCs/>
                <w:color w:val="000000"/>
                <w:kern w:val="0"/>
                <w:sz w:val="22"/>
              </w:rPr>
              <w:t>(十</w:t>
            </w:r>
            <w:r>
              <w:rPr>
                <w:rFonts w:hint="eastAsia" w:cs="Times New Roman"/>
                <w:b/>
                <w:bCs/>
                <w:color w:val="000000"/>
                <w:kern w:val="0"/>
                <w:sz w:val="22"/>
                <w:lang w:val="en-US" w:eastAsia="zh-CN"/>
              </w:rPr>
              <w:t>一</w:t>
            </w:r>
            <w:r>
              <w:rPr>
                <w:rFonts w:cs="Times New Roman"/>
                <w:b/>
                <w:bCs/>
                <w:color w:val="000000"/>
                <w:kern w:val="0"/>
                <w:sz w:val="22"/>
              </w:rPr>
              <w:t>)</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 xml:space="preserve">鼠兔科 </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b/>
                <w:bCs/>
                <w:color w:val="000000"/>
                <w:kern w:val="0"/>
                <w:sz w:val="21"/>
                <w:szCs w:val="21"/>
              </w:rPr>
            </w:pPr>
            <w:r>
              <w:rPr>
                <w:rFonts w:cs="Times New Roman"/>
                <w:b/>
                <w:bCs/>
                <w:color w:val="000000"/>
                <w:kern w:val="0"/>
                <w:sz w:val="21"/>
                <w:szCs w:val="21"/>
              </w:rPr>
              <w:t>Ochotonidae</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r>
      <w:tr>
        <w:tblPrEx>
          <w:tblCellMar>
            <w:top w:w="0" w:type="dxa"/>
            <w:left w:w="108" w:type="dxa"/>
            <w:bottom w:w="0" w:type="dxa"/>
            <w:right w:w="108" w:type="dxa"/>
          </w:tblCellMar>
        </w:tblPrEx>
        <w:trPr>
          <w:trHeight w:val="369" w:hRule="exac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s="Times New Roman"/>
                <w:color w:val="000000"/>
                <w:kern w:val="0"/>
                <w:sz w:val="22"/>
                <w:lang w:val="en-US" w:eastAsia="zh-CN"/>
              </w:rPr>
            </w:pPr>
            <w:r>
              <w:rPr>
                <w:rFonts w:hint="eastAsia" w:cs="Times New Roman"/>
                <w:color w:val="000000"/>
                <w:kern w:val="0"/>
                <w:sz w:val="22"/>
                <w:lang w:val="en-US" w:eastAsia="zh-CN"/>
              </w:rPr>
              <w:t>15</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rPr>
            </w:pPr>
            <w:r>
              <w:rPr>
                <w:rFonts w:cs="Times New Roman"/>
                <w:color w:val="000000"/>
                <w:kern w:val="0"/>
                <w:sz w:val="21"/>
                <w:szCs w:val="21"/>
              </w:rPr>
              <w:t xml:space="preserve">间颅鼠兔 </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000000"/>
                <w:kern w:val="0"/>
                <w:sz w:val="21"/>
                <w:szCs w:val="21"/>
              </w:rPr>
            </w:pPr>
            <w:r>
              <w:rPr>
                <w:rFonts w:cs="Times New Roman"/>
                <w:i/>
                <w:iCs/>
                <w:color w:val="000000"/>
                <w:kern w:val="0"/>
                <w:sz w:val="21"/>
                <w:szCs w:val="21"/>
              </w:rPr>
              <w:t>Ochotona cancas</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古</w:t>
            </w: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P</w:t>
            </w: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w:t>
            </w: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调查</w:t>
            </w:r>
          </w:p>
        </w:tc>
      </w:tr>
      <w:tr>
        <w:tblPrEx>
          <w:tblCellMar>
            <w:top w:w="0" w:type="dxa"/>
            <w:left w:w="108" w:type="dxa"/>
            <w:bottom w:w="0" w:type="dxa"/>
            <w:right w:w="108" w:type="dxa"/>
          </w:tblCellMar>
        </w:tblPrEx>
        <w:trPr>
          <w:trHeight w:val="369" w:hRule="exact"/>
          <w:jc w:val="center"/>
        </w:trPr>
        <w:tc>
          <w:tcPr>
            <w:tcW w:w="51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s="Times New Roman"/>
                <w:color w:val="000000"/>
                <w:kern w:val="0"/>
                <w:sz w:val="22"/>
                <w:lang w:val="en-US" w:eastAsia="zh-CN"/>
              </w:rPr>
            </w:pPr>
            <w:r>
              <w:rPr>
                <w:rFonts w:hint="eastAsia" w:cs="Times New Roman"/>
                <w:color w:val="000000"/>
                <w:kern w:val="0"/>
                <w:sz w:val="22"/>
                <w:lang w:val="en-US" w:eastAsia="zh-CN"/>
              </w:rPr>
              <w:t>16</w:t>
            </w:r>
          </w:p>
        </w:tc>
        <w:tc>
          <w:tcPr>
            <w:tcW w:w="752"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color w:val="000000"/>
                <w:kern w:val="0"/>
                <w:sz w:val="21"/>
                <w:szCs w:val="21"/>
              </w:rPr>
            </w:pPr>
            <w:r>
              <w:rPr>
                <w:rFonts w:ascii="Times New Roman" w:cs="Times New Roman"/>
                <w:sz w:val="21"/>
                <w:szCs w:val="21"/>
              </w:rPr>
              <w:t>高原鼠兔</w:t>
            </w:r>
          </w:p>
        </w:tc>
        <w:tc>
          <w:tcPr>
            <w:tcW w:w="135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rPr>
                <w:rFonts w:cs="Times New Roman"/>
                <w:i/>
                <w:iCs/>
                <w:color w:val="000000"/>
                <w:kern w:val="0"/>
                <w:sz w:val="21"/>
                <w:szCs w:val="21"/>
              </w:rPr>
            </w:pPr>
            <w:r>
              <w:rPr>
                <w:rFonts w:cs="Times New Roman"/>
                <w:i/>
                <w:iCs/>
                <w:color w:val="000000"/>
                <w:kern w:val="0"/>
                <w:sz w:val="21"/>
                <w:szCs w:val="21"/>
              </w:rPr>
              <w:t>Ochotona</w:t>
            </w:r>
            <w:r>
              <w:rPr>
                <w:rFonts w:hint="eastAsia" w:cs="Times New Roman"/>
                <w:i/>
                <w:iCs/>
                <w:color w:val="000000"/>
                <w:kern w:val="0"/>
                <w:sz w:val="21"/>
                <w:szCs w:val="21"/>
                <w:lang w:val="en-US" w:eastAsia="zh-CN"/>
              </w:rPr>
              <w:t xml:space="preserve"> </w:t>
            </w:r>
            <w:r>
              <w:rPr>
                <w:rFonts w:cs="Times New Roman"/>
                <w:i/>
                <w:iCs/>
                <w:color w:val="000000"/>
                <w:kern w:val="0"/>
                <w:sz w:val="21"/>
                <w:szCs w:val="21"/>
              </w:rPr>
              <w:t>curzoniae</w:t>
            </w:r>
          </w:p>
        </w:tc>
        <w:tc>
          <w:tcPr>
            <w:tcW w:w="41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p>
        </w:tc>
        <w:tc>
          <w:tcPr>
            <w:tcW w:w="5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000000"/>
                <w:kern w:val="0"/>
                <w:sz w:val="21"/>
                <w:szCs w:val="21"/>
                <w:lang w:eastAsia="zh-CN"/>
              </w:rPr>
            </w:pPr>
            <w:r>
              <w:rPr>
                <w:rFonts w:hint="eastAsia" w:cs="Times New Roman"/>
                <w:color w:val="000000"/>
                <w:kern w:val="0"/>
                <w:sz w:val="21"/>
                <w:szCs w:val="21"/>
                <w:lang w:val="en-US" w:eastAsia="zh-CN"/>
              </w:rPr>
              <w:t>古</w:t>
            </w:r>
          </w:p>
        </w:tc>
        <w:tc>
          <w:tcPr>
            <w:tcW w:w="484"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P</w:t>
            </w:r>
          </w:p>
        </w:tc>
        <w:tc>
          <w:tcPr>
            <w:tcW w:w="45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w:t>
            </w:r>
          </w:p>
        </w:tc>
        <w:tc>
          <w:tcPr>
            <w:tcW w:w="50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hint="eastAsia" w:eastAsia="宋体" w:cs="Times New Roman"/>
                <w:color w:val="000000"/>
                <w:kern w:val="0"/>
                <w:sz w:val="21"/>
                <w:szCs w:val="21"/>
                <w:lang w:eastAsia="zh-CN"/>
              </w:rPr>
            </w:pPr>
            <w:r>
              <w:rPr>
                <w:rFonts w:hint="eastAsia" w:cs="Times New Roman"/>
                <w:color w:val="000000"/>
                <w:kern w:val="0"/>
                <w:sz w:val="21"/>
                <w:szCs w:val="21"/>
                <w:lang w:eastAsia="zh-CN"/>
              </w:rPr>
              <w:t>调查</w:t>
            </w:r>
          </w:p>
        </w:tc>
      </w:tr>
    </w:tbl>
    <w:p>
      <w:pPr>
        <w:spacing w:line="240" w:lineRule="auto"/>
        <w:ind w:left="0" w:leftChars="0" w:firstLine="0" w:firstLineChars="0"/>
        <w:rPr>
          <w:rFonts w:hint="default" w:ascii="Times New Roman" w:hAnsi="Times New Roman" w:cs="Times New Roman"/>
          <w:sz w:val="18"/>
          <w:szCs w:val="18"/>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default" w:ascii="Times New Roman" w:hAnsi="Times New Roman" w:cs="Times New Roman"/>
          <w:b/>
          <w:sz w:val="18"/>
          <w:szCs w:val="18"/>
        </w:rPr>
        <w:t>注：区系：</w:t>
      </w:r>
      <w:r>
        <w:rPr>
          <w:rFonts w:hint="default" w:ascii="Times New Roman" w:hAnsi="Times New Roman" w:cs="Times New Roman"/>
          <w:sz w:val="18"/>
          <w:szCs w:val="18"/>
        </w:rPr>
        <w:t>古：为古北界东：为东洋界。</w:t>
      </w:r>
      <w:r>
        <w:rPr>
          <w:rFonts w:hint="default" w:ascii="Times New Roman" w:hAnsi="Times New Roman" w:cs="Times New Roman"/>
          <w:b/>
          <w:sz w:val="18"/>
          <w:szCs w:val="18"/>
        </w:rPr>
        <w:t>分布型：</w:t>
      </w:r>
      <w:r>
        <w:rPr>
          <w:rFonts w:hint="default" w:ascii="Times New Roman" w:hAnsi="Times New Roman" w:cs="Times New Roman"/>
          <w:sz w:val="18"/>
          <w:szCs w:val="18"/>
        </w:rPr>
        <w:t xml:space="preserve"> H：喜马拉雅－横断山区型及云贵高原型；W：东洋型； P-高地型； U-古北型；C-全北型。</w:t>
      </w:r>
      <w:r>
        <w:rPr>
          <w:rFonts w:hint="default" w:ascii="Times New Roman" w:hAnsi="Times New Roman" w:cs="Times New Roman"/>
          <w:b/>
          <w:sz w:val="18"/>
          <w:szCs w:val="18"/>
        </w:rPr>
        <w:t>保护级别：</w:t>
      </w:r>
      <w:r>
        <w:rPr>
          <w:rFonts w:hint="default" w:ascii="Times New Roman" w:hAnsi="Times New Roman" w:cs="Times New Roman"/>
          <w:sz w:val="18"/>
          <w:szCs w:val="18"/>
        </w:rPr>
        <w:t>Ⅱ-国家Ⅱ级重点保护动物；省-四川省重点保护动物</w:t>
      </w:r>
      <w:r>
        <w:rPr>
          <w:rFonts w:hint="default" w:ascii="Times New Roman" w:hAnsi="Times New Roman" w:cs="Times New Roman"/>
          <w:sz w:val="18"/>
          <w:szCs w:val="18"/>
          <w:lang w:eastAsia="zh-CN"/>
        </w:rPr>
        <w:t>。</w:t>
      </w:r>
      <w:r>
        <w:rPr>
          <w:rFonts w:hint="default" w:ascii="Times New Roman" w:hAnsi="Times New Roman" w:cs="Times New Roman"/>
          <w:b/>
          <w:bCs/>
          <w:sz w:val="18"/>
          <w:szCs w:val="18"/>
        </w:rPr>
        <w:t>数量：</w:t>
      </w:r>
      <w:r>
        <w:rPr>
          <w:rFonts w:hint="default" w:ascii="Times New Roman" w:hAnsi="Times New Roman" w:cs="Times New Roman"/>
          <w:sz w:val="18"/>
          <w:szCs w:val="18"/>
        </w:rPr>
        <w:t xml:space="preserve"> +++：优势种；++：常见种；+：稀有种。</w:t>
      </w:r>
      <w:bookmarkEnd w:id="0"/>
    </w:p>
    <w:p>
      <w:pPr>
        <w:ind w:left="0" w:leftChars="0" w:firstLine="0" w:firstLineChars="0"/>
        <w:rPr>
          <w:rFonts w:hint="eastAsia" w:ascii="黑体" w:hAnsi="黑体" w:eastAsia="黑体" w:cs="黑体"/>
          <w:b/>
          <w:bCs/>
          <w:sz w:val="32"/>
          <w:szCs w:val="32"/>
          <w:lang w:val="en-US" w:eastAsia="zh-CN"/>
        </w:rPr>
      </w:pPr>
      <w:r>
        <w:rPr>
          <w:rFonts w:hint="eastAsia" w:ascii="黑体" w:hAnsi="黑体" w:eastAsia="黑体" w:cs="黑体"/>
          <w:b/>
          <w:bCs/>
          <w:sz w:val="32"/>
          <w:szCs w:val="32"/>
          <w:lang w:val="en-US" w:eastAsia="zh-CN"/>
        </w:rPr>
        <w:t>附表 调查样线、样方表</w:t>
      </w:r>
    </w:p>
    <w:p>
      <w:pPr>
        <w:ind w:left="0" w:leftChars="0" w:firstLine="0" w:firstLineChars="0"/>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364480" cy="7857490"/>
            <wp:effectExtent l="0" t="0" r="0" b="6350"/>
            <wp:docPr id="34" name="图片 34" descr="img-52305183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523051831-0001"/>
                    <pic:cNvPicPr>
                      <a:picLocks noChangeAspect="1"/>
                    </pic:cNvPicPr>
                  </pic:nvPicPr>
                  <pic:blipFill>
                    <a:blip r:embed="rId34"/>
                    <a:srcRect l="3853" t="5300" r="9780" b="5245"/>
                    <a:stretch>
                      <a:fillRect/>
                    </a:stretch>
                  </pic:blipFill>
                  <pic:spPr>
                    <a:xfrm>
                      <a:off x="0" y="0"/>
                      <a:ext cx="5364480" cy="7857490"/>
                    </a:xfrm>
                    <a:prstGeom prst="rect">
                      <a:avLst/>
                    </a:prstGeom>
                  </pic:spPr>
                </pic:pic>
              </a:graphicData>
            </a:graphic>
          </wp:inline>
        </w:drawing>
      </w:r>
      <w:r>
        <w:rPr>
          <w:rFonts w:hint="default" w:ascii="黑体" w:hAnsi="黑体" w:eastAsia="黑体" w:cs="黑体"/>
          <w:b/>
          <w:bCs/>
          <w:sz w:val="32"/>
          <w:szCs w:val="32"/>
          <w:lang w:val="en-US" w:eastAsia="zh-CN"/>
        </w:rPr>
        <w:drawing>
          <wp:inline distT="0" distB="0" distL="114300" distR="114300">
            <wp:extent cx="5273040" cy="7456805"/>
            <wp:effectExtent l="0" t="0" r="3810" b="10795"/>
            <wp:docPr id="33" name="图片 33" descr="img-523051831-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523051831-0002"/>
                    <pic:cNvPicPr>
                      <a:picLocks noChangeAspect="1"/>
                    </pic:cNvPicPr>
                  </pic:nvPicPr>
                  <pic:blipFill>
                    <a:blip r:embed="rId35"/>
                    <a:stretch>
                      <a:fillRect/>
                    </a:stretch>
                  </pic:blipFill>
                  <pic:spPr>
                    <a:xfrm>
                      <a:off x="0" y="0"/>
                      <a:ext cx="5273040" cy="7456805"/>
                    </a:xfrm>
                    <a:prstGeom prst="rect">
                      <a:avLst/>
                    </a:prstGeom>
                  </pic:spPr>
                </pic:pic>
              </a:graphicData>
            </a:graphic>
          </wp:inline>
        </w:drawing>
      </w:r>
      <w:r>
        <w:rPr>
          <w:rFonts w:hint="default" w:ascii="黑体" w:hAnsi="黑体" w:eastAsia="黑体" w:cs="黑体"/>
          <w:b/>
          <w:bCs/>
          <w:sz w:val="32"/>
          <w:szCs w:val="32"/>
          <w:lang w:val="en-US" w:eastAsia="zh-CN"/>
        </w:rPr>
        <w:drawing>
          <wp:inline distT="0" distB="0" distL="114300" distR="114300">
            <wp:extent cx="5273040" cy="7456805"/>
            <wp:effectExtent l="0" t="0" r="3810" b="10795"/>
            <wp:docPr id="32" name="图片 32" descr="img-523051831-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523051831-0003"/>
                    <pic:cNvPicPr>
                      <a:picLocks noChangeAspect="1"/>
                    </pic:cNvPicPr>
                  </pic:nvPicPr>
                  <pic:blipFill>
                    <a:blip r:embed="rId36"/>
                    <a:stretch>
                      <a:fillRect/>
                    </a:stretch>
                  </pic:blipFill>
                  <pic:spPr>
                    <a:xfrm>
                      <a:off x="0" y="0"/>
                      <a:ext cx="5273040" cy="7456805"/>
                    </a:xfrm>
                    <a:prstGeom prst="rect">
                      <a:avLst/>
                    </a:prstGeom>
                  </pic:spPr>
                </pic:pic>
              </a:graphicData>
            </a:graphic>
          </wp:inline>
        </w:drawing>
      </w:r>
      <w:r>
        <w:rPr>
          <w:rFonts w:hint="default" w:ascii="黑体" w:hAnsi="黑体" w:eastAsia="黑体" w:cs="黑体"/>
          <w:b/>
          <w:bCs/>
          <w:sz w:val="32"/>
          <w:szCs w:val="32"/>
          <w:lang w:val="en-US" w:eastAsia="zh-CN"/>
        </w:rPr>
        <w:drawing>
          <wp:inline distT="0" distB="0" distL="114300" distR="114300">
            <wp:extent cx="5273040" cy="7456805"/>
            <wp:effectExtent l="0" t="0" r="3810" b="10795"/>
            <wp:docPr id="31" name="图片 31" descr="img-523051831-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523051831-0004"/>
                    <pic:cNvPicPr>
                      <a:picLocks noChangeAspect="1"/>
                    </pic:cNvPicPr>
                  </pic:nvPicPr>
                  <pic:blipFill>
                    <a:blip r:embed="rId37"/>
                    <a:stretch>
                      <a:fillRect/>
                    </a:stretch>
                  </pic:blipFill>
                  <pic:spPr>
                    <a:xfrm>
                      <a:off x="0" y="0"/>
                      <a:ext cx="5273040" cy="7456805"/>
                    </a:xfrm>
                    <a:prstGeom prst="rect">
                      <a:avLst/>
                    </a:prstGeom>
                  </pic:spPr>
                </pic:pic>
              </a:graphicData>
            </a:graphic>
          </wp:inline>
        </w:drawing>
      </w:r>
      <w:r>
        <w:rPr>
          <w:rFonts w:hint="default" w:ascii="黑体" w:hAnsi="黑体" w:eastAsia="黑体" w:cs="黑体"/>
          <w:b/>
          <w:bCs/>
          <w:sz w:val="32"/>
          <w:szCs w:val="32"/>
          <w:lang w:val="en-US" w:eastAsia="zh-CN"/>
        </w:rPr>
        <w:drawing>
          <wp:inline distT="0" distB="0" distL="114300" distR="114300">
            <wp:extent cx="5273040" cy="7456805"/>
            <wp:effectExtent l="0" t="0" r="3810" b="10795"/>
            <wp:docPr id="30" name="图片 30" descr="img-523051831-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523051831-0005"/>
                    <pic:cNvPicPr>
                      <a:picLocks noChangeAspect="1"/>
                    </pic:cNvPicPr>
                  </pic:nvPicPr>
                  <pic:blipFill>
                    <a:blip r:embed="rId38"/>
                    <a:stretch>
                      <a:fillRect/>
                    </a:stretch>
                  </pic:blipFill>
                  <pic:spPr>
                    <a:xfrm>
                      <a:off x="0" y="0"/>
                      <a:ext cx="5273040" cy="7456805"/>
                    </a:xfrm>
                    <a:prstGeom prst="rect">
                      <a:avLst/>
                    </a:prstGeom>
                  </pic:spPr>
                </pic:pic>
              </a:graphicData>
            </a:graphic>
          </wp:inline>
        </w:drawing>
      </w:r>
    </w:p>
    <w:p>
      <w:pPr>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br w:type="page"/>
      </w:r>
    </w:p>
    <w:p>
      <w:pPr>
        <w:ind w:left="0" w:leftChars="0" w:firstLine="0" w:firstLineChars="0"/>
        <w:rPr>
          <w:rFonts w:hint="default" w:ascii="黑体" w:hAnsi="黑体" w:eastAsia="黑体" w:cs="黑体"/>
          <w:b/>
          <w:bCs/>
          <w:sz w:val="32"/>
          <w:szCs w:val="32"/>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pPr>
        <w:ind w:left="0" w:leftChars="0" w:firstLine="0" w:firstLineChars="0"/>
        <w:rPr>
          <w:rFonts w:hint="default" w:ascii="黑体" w:hAnsi="黑体" w:eastAsia="黑体" w:cs="黑体"/>
          <w:b/>
          <w:bCs/>
          <w:sz w:val="32"/>
          <w:szCs w:val="32"/>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default" w:ascii="黑体" w:hAnsi="黑体" w:eastAsia="黑体" w:cs="黑体"/>
          <w:b/>
          <w:bCs/>
          <w:sz w:val="32"/>
          <w:szCs w:val="32"/>
          <w:lang w:val="en-US" w:eastAsia="zh-CN"/>
        </w:rPr>
        <w:drawing>
          <wp:anchor distT="0" distB="0" distL="114300" distR="114300" simplePos="0" relativeHeight="251679744" behindDoc="0" locked="0" layoutInCell="1" allowOverlap="1">
            <wp:simplePos x="0" y="0"/>
            <wp:positionH relativeFrom="column">
              <wp:posOffset>-1146810</wp:posOffset>
            </wp:positionH>
            <wp:positionV relativeFrom="paragraph">
              <wp:posOffset>1659890</wp:posOffset>
            </wp:positionV>
            <wp:extent cx="7613015" cy="5384165"/>
            <wp:effectExtent l="0" t="0" r="6985" b="6985"/>
            <wp:wrapNone/>
            <wp:docPr id="29" name="图片 29" descr="img-523051831-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523051831-0006"/>
                    <pic:cNvPicPr>
                      <a:picLocks noChangeAspect="1"/>
                    </pic:cNvPicPr>
                  </pic:nvPicPr>
                  <pic:blipFill>
                    <a:blip r:embed="rId39"/>
                    <a:stretch>
                      <a:fillRect/>
                    </a:stretch>
                  </pic:blipFill>
                  <pic:spPr>
                    <a:xfrm rot="16200000">
                      <a:off x="0" y="0"/>
                      <a:ext cx="7613015" cy="5384165"/>
                    </a:xfrm>
                    <a:prstGeom prst="rect">
                      <a:avLst/>
                    </a:prstGeom>
                  </pic:spPr>
                </pic:pic>
              </a:graphicData>
            </a:graphic>
          </wp:anchor>
        </w:drawing>
      </w:r>
    </w:p>
    <w:p>
      <w:pPr>
        <w:ind w:left="0" w:leftChars="0" w:firstLine="0" w:firstLineChars="0"/>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anchor distT="0" distB="0" distL="114300" distR="114300" simplePos="0" relativeHeight="251678720" behindDoc="0" locked="0" layoutInCell="1" allowOverlap="1">
            <wp:simplePos x="0" y="0"/>
            <wp:positionH relativeFrom="column">
              <wp:posOffset>-1166495</wp:posOffset>
            </wp:positionH>
            <wp:positionV relativeFrom="paragraph">
              <wp:posOffset>1524635</wp:posOffset>
            </wp:positionV>
            <wp:extent cx="7631430" cy="5397500"/>
            <wp:effectExtent l="0" t="0" r="12700" b="7620"/>
            <wp:wrapNone/>
            <wp:docPr id="28" name="图片 28" descr="img-523051831-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523051831-0007"/>
                    <pic:cNvPicPr>
                      <a:picLocks noChangeAspect="1"/>
                    </pic:cNvPicPr>
                  </pic:nvPicPr>
                  <pic:blipFill>
                    <a:blip r:embed="rId40"/>
                    <a:stretch>
                      <a:fillRect/>
                    </a:stretch>
                  </pic:blipFill>
                  <pic:spPr>
                    <a:xfrm rot="16200000">
                      <a:off x="0" y="0"/>
                      <a:ext cx="7631430" cy="5397500"/>
                    </a:xfrm>
                    <a:prstGeom prst="rect">
                      <a:avLst/>
                    </a:prstGeom>
                  </pic:spPr>
                </pic:pic>
              </a:graphicData>
            </a:graphic>
          </wp:anchor>
        </w:drawing>
      </w:r>
    </w:p>
    <w:p>
      <w:pPr>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br w:type="page"/>
      </w:r>
    </w:p>
    <w:p>
      <w:pPr>
        <w:ind w:left="0" w:leftChars="0" w:firstLine="0" w:firstLineChars="0"/>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anchor distT="0" distB="0" distL="114300" distR="114300" simplePos="0" relativeHeight="251677696" behindDoc="0" locked="0" layoutInCell="1" allowOverlap="1">
            <wp:simplePos x="0" y="0"/>
            <wp:positionH relativeFrom="column">
              <wp:posOffset>-1210310</wp:posOffset>
            </wp:positionH>
            <wp:positionV relativeFrom="paragraph">
              <wp:posOffset>1446530</wp:posOffset>
            </wp:positionV>
            <wp:extent cx="7709535" cy="5453380"/>
            <wp:effectExtent l="0" t="0" r="13970" b="5715"/>
            <wp:wrapNone/>
            <wp:docPr id="27" name="图片 27" descr="img-523051831-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523051831-0008"/>
                    <pic:cNvPicPr>
                      <a:picLocks noChangeAspect="1"/>
                    </pic:cNvPicPr>
                  </pic:nvPicPr>
                  <pic:blipFill>
                    <a:blip r:embed="rId41"/>
                    <a:stretch>
                      <a:fillRect/>
                    </a:stretch>
                  </pic:blipFill>
                  <pic:spPr>
                    <a:xfrm rot="16200000">
                      <a:off x="0" y="0"/>
                      <a:ext cx="7709535" cy="5453380"/>
                    </a:xfrm>
                    <a:prstGeom prst="rect">
                      <a:avLst/>
                    </a:prstGeom>
                  </pic:spPr>
                </pic:pic>
              </a:graphicData>
            </a:graphic>
          </wp:anchor>
        </w:drawing>
      </w:r>
    </w:p>
    <w:p>
      <w:pPr>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br w:type="page"/>
      </w:r>
    </w:p>
    <w:p>
      <w:pPr>
        <w:ind w:left="0" w:leftChars="0" w:firstLine="0" w:firstLineChars="0"/>
        <w:rPr>
          <w:rFonts w:hint="default" w:ascii="黑体" w:hAnsi="黑体" w:eastAsia="黑体" w:cs="黑体"/>
          <w:b/>
          <w:bCs/>
          <w:sz w:val="32"/>
          <w:szCs w:val="32"/>
          <w:lang w:val="en-US" w:eastAsia="zh-CN"/>
        </w:rPr>
      </w:pPr>
    </w:p>
    <w:p>
      <w:pPr>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anchor distT="0" distB="0" distL="114300" distR="114300" simplePos="0" relativeHeight="251676672" behindDoc="0" locked="0" layoutInCell="1" allowOverlap="1">
            <wp:simplePos x="0" y="0"/>
            <wp:positionH relativeFrom="column">
              <wp:posOffset>-1148080</wp:posOffset>
            </wp:positionH>
            <wp:positionV relativeFrom="paragraph">
              <wp:posOffset>1149350</wp:posOffset>
            </wp:positionV>
            <wp:extent cx="7601585" cy="5376545"/>
            <wp:effectExtent l="0" t="0" r="14605" b="18415"/>
            <wp:wrapNone/>
            <wp:docPr id="26" name="图片 26" descr="img-523051831-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523051831-0009"/>
                    <pic:cNvPicPr>
                      <a:picLocks noChangeAspect="1"/>
                    </pic:cNvPicPr>
                  </pic:nvPicPr>
                  <pic:blipFill>
                    <a:blip r:embed="rId42"/>
                    <a:stretch>
                      <a:fillRect/>
                    </a:stretch>
                  </pic:blipFill>
                  <pic:spPr>
                    <a:xfrm rot="16200000">
                      <a:off x="0" y="0"/>
                      <a:ext cx="7601585" cy="5376545"/>
                    </a:xfrm>
                    <a:prstGeom prst="rect">
                      <a:avLst/>
                    </a:prstGeom>
                  </pic:spPr>
                </pic:pic>
              </a:graphicData>
            </a:graphic>
          </wp:anchor>
        </w:drawing>
      </w:r>
      <w:r>
        <w:rPr>
          <w:rFonts w:hint="default" w:ascii="黑体" w:hAnsi="黑体" w:eastAsia="黑体" w:cs="黑体"/>
          <w:b/>
          <w:bCs/>
          <w:sz w:val="32"/>
          <w:szCs w:val="32"/>
          <w:lang w:val="en-US" w:eastAsia="zh-CN"/>
        </w:rPr>
        <w:br w:type="page"/>
      </w:r>
    </w:p>
    <w:p>
      <w:pPr>
        <w:ind w:left="0" w:leftChars="0" w:firstLine="0" w:firstLineChars="0"/>
        <w:rPr>
          <w:rFonts w:hint="default" w:ascii="黑体" w:hAnsi="黑体" w:eastAsia="黑体" w:cs="黑体"/>
          <w:b/>
          <w:bCs/>
          <w:sz w:val="32"/>
          <w:szCs w:val="32"/>
          <w:lang w:val="en-US" w:eastAsia="zh-CN"/>
        </w:rPr>
      </w:pPr>
    </w:p>
    <w:p>
      <w:pPr>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anchor distT="0" distB="0" distL="114300" distR="114300" simplePos="0" relativeHeight="251675648" behindDoc="0" locked="0" layoutInCell="1" allowOverlap="1">
            <wp:simplePos x="0" y="0"/>
            <wp:positionH relativeFrom="column">
              <wp:posOffset>-1195705</wp:posOffset>
            </wp:positionH>
            <wp:positionV relativeFrom="paragraph">
              <wp:posOffset>1100455</wp:posOffset>
            </wp:positionV>
            <wp:extent cx="7651750" cy="5410835"/>
            <wp:effectExtent l="0" t="0" r="18415" b="6350"/>
            <wp:wrapNone/>
            <wp:docPr id="25" name="图片 25" descr="img-523051831-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523051831-0010"/>
                    <pic:cNvPicPr>
                      <a:picLocks noChangeAspect="1"/>
                    </pic:cNvPicPr>
                  </pic:nvPicPr>
                  <pic:blipFill>
                    <a:blip r:embed="rId43"/>
                    <a:stretch>
                      <a:fillRect/>
                    </a:stretch>
                  </pic:blipFill>
                  <pic:spPr>
                    <a:xfrm rot="16200000">
                      <a:off x="0" y="0"/>
                      <a:ext cx="7651750" cy="5410835"/>
                    </a:xfrm>
                    <a:prstGeom prst="rect">
                      <a:avLst/>
                    </a:prstGeom>
                  </pic:spPr>
                </pic:pic>
              </a:graphicData>
            </a:graphic>
          </wp:anchor>
        </w:drawing>
      </w:r>
      <w:r>
        <w:rPr>
          <w:rFonts w:hint="default" w:ascii="黑体" w:hAnsi="黑体" w:eastAsia="黑体" w:cs="黑体"/>
          <w:b/>
          <w:bCs/>
          <w:sz w:val="32"/>
          <w:szCs w:val="32"/>
          <w:lang w:val="en-US" w:eastAsia="zh-CN"/>
        </w:rPr>
        <w:br w:type="page"/>
      </w:r>
    </w:p>
    <w:p>
      <w:pPr>
        <w:ind w:left="0" w:leftChars="0" w:firstLine="0" w:firstLineChars="0"/>
        <w:rPr>
          <w:rFonts w:hint="default" w:ascii="黑体" w:hAnsi="黑体" w:eastAsia="黑体" w:cs="黑体"/>
          <w:b/>
          <w:bCs/>
          <w:sz w:val="32"/>
          <w:szCs w:val="32"/>
          <w:lang w:val="en-US" w:eastAsia="zh-CN"/>
        </w:rPr>
      </w:pPr>
    </w:p>
    <w:p>
      <w:pPr>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anchor distT="0" distB="0" distL="114300" distR="114300" simplePos="0" relativeHeight="251674624" behindDoc="0" locked="0" layoutInCell="1" allowOverlap="1">
            <wp:simplePos x="0" y="0"/>
            <wp:positionH relativeFrom="column">
              <wp:posOffset>-1148080</wp:posOffset>
            </wp:positionH>
            <wp:positionV relativeFrom="paragraph">
              <wp:posOffset>1300480</wp:posOffset>
            </wp:positionV>
            <wp:extent cx="7622540" cy="5390515"/>
            <wp:effectExtent l="0" t="0" r="635" b="16510"/>
            <wp:wrapNone/>
            <wp:docPr id="24" name="图片 24" descr="img-523051831-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523051831-0011"/>
                    <pic:cNvPicPr>
                      <a:picLocks noChangeAspect="1"/>
                    </pic:cNvPicPr>
                  </pic:nvPicPr>
                  <pic:blipFill>
                    <a:blip r:embed="rId44"/>
                    <a:stretch>
                      <a:fillRect/>
                    </a:stretch>
                  </pic:blipFill>
                  <pic:spPr>
                    <a:xfrm rot="16200000">
                      <a:off x="0" y="0"/>
                      <a:ext cx="7622540" cy="5390515"/>
                    </a:xfrm>
                    <a:prstGeom prst="rect">
                      <a:avLst/>
                    </a:prstGeom>
                  </pic:spPr>
                </pic:pic>
              </a:graphicData>
            </a:graphic>
          </wp:anchor>
        </w:drawing>
      </w:r>
      <w:r>
        <w:rPr>
          <w:rFonts w:hint="default" w:ascii="黑体" w:hAnsi="黑体" w:eastAsia="黑体" w:cs="黑体"/>
          <w:b/>
          <w:bCs/>
          <w:sz w:val="32"/>
          <w:szCs w:val="32"/>
          <w:lang w:val="en-US" w:eastAsia="zh-CN"/>
        </w:rPr>
        <w:br w:type="page"/>
      </w:r>
    </w:p>
    <w:p>
      <w:pPr>
        <w:ind w:left="0" w:leftChars="0" w:firstLine="0" w:firstLineChars="0"/>
        <w:rPr>
          <w:rFonts w:hint="default" w:ascii="黑体" w:hAnsi="黑体" w:eastAsia="黑体" w:cs="黑体"/>
          <w:b/>
          <w:bCs/>
          <w:sz w:val="32"/>
          <w:szCs w:val="32"/>
          <w:lang w:val="en-US" w:eastAsia="zh-CN"/>
        </w:rPr>
      </w:pPr>
    </w:p>
    <w:p>
      <w:pPr>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anchor distT="0" distB="0" distL="114300" distR="114300" simplePos="0" relativeHeight="251673600" behindDoc="0" locked="0" layoutInCell="1" allowOverlap="1">
            <wp:simplePos x="0" y="0"/>
            <wp:positionH relativeFrom="column">
              <wp:posOffset>-1192530</wp:posOffset>
            </wp:positionH>
            <wp:positionV relativeFrom="paragraph">
              <wp:posOffset>1175385</wp:posOffset>
            </wp:positionV>
            <wp:extent cx="7711440" cy="5454015"/>
            <wp:effectExtent l="0" t="0" r="13335" b="3810"/>
            <wp:wrapNone/>
            <wp:docPr id="23" name="图片 23" descr="img-523051831-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523051831-0012"/>
                    <pic:cNvPicPr>
                      <a:picLocks noChangeAspect="1"/>
                    </pic:cNvPicPr>
                  </pic:nvPicPr>
                  <pic:blipFill>
                    <a:blip r:embed="rId45"/>
                    <a:stretch>
                      <a:fillRect/>
                    </a:stretch>
                  </pic:blipFill>
                  <pic:spPr>
                    <a:xfrm rot="16200000">
                      <a:off x="0" y="0"/>
                      <a:ext cx="7711440" cy="5454015"/>
                    </a:xfrm>
                    <a:prstGeom prst="rect">
                      <a:avLst/>
                    </a:prstGeom>
                  </pic:spPr>
                </pic:pic>
              </a:graphicData>
            </a:graphic>
          </wp:anchor>
        </w:drawing>
      </w:r>
      <w:r>
        <w:rPr>
          <w:rFonts w:hint="default" w:ascii="黑体" w:hAnsi="黑体" w:eastAsia="黑体" w:cs="黑体"/>
          <w:b/>
          <w:bCs/>
          <w:sz w:val="32"/>
          <w:szCs w:val="32"/>
          <w:lang w:val="en-US" w:eastAsia="zh-CN"/>
        </w:rPr>
        <w:br w:type="page"/>
      </w:r>
    </w:p>
    <w:p>
      <w:pPr>
        <w:ind w:left="0" w:leftChars="0" w:firstLine="0" w:firstLineChars="0"/>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anchor distT="0" distB="0" distL="114300" distR="114300" simplePos="0" relativeHeight="251672576" behindDoc="0" locked="0" layoutInCell="1" allowOverlap="1">
            <wp:simplePos x="0" y="0"/>
            <wp:positionH relativeFrom="column">
              <wp:posOffset>-1170940</wp:posOffset>
            </wp:positionH>
            <wp:positionV relativeFrom="paragraph">
              <wp:posOffset>1536700</wp:posOffset>
            </wp:positionV>
            <wp:extent cx="7712075" cy="5454650"/>
            <wp:effectExtent l="0" t="0" r="12700" b="3175"/>
            <wp:wrapNone/>
            <wp:docPr id="22" name="图片 22" descr="img-523051831-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523051831-0013"/>
                    <pic:cNvPicPr>
                      <a:picLocks noChangeAspect="1"/>
                    </pic:cNvPicPr>
                  </pic:nvPicPr>
                  <pic:blipFill>
                    <a:blip r:embed="rId46"/>
                    <a:stretch>
                      <a:fillRect/>
                    </a:stretch>
                  </pic:blipFill>
                  <pic:spPr>
                    <a:xfrm rot="16200000">
                      <a:off x="0" y="0"/>
                      <a:ext cx="7712075" cy="5454650"/>
                    </a:xfrm>
                    <a:prstGeom prst="rect">
                      <a:avLst/>
                    </a:prstGeom>
                  </pic:spPr>
                </pic:pic>
              </a:graphicData>
            </a:graphic>
          </wp:anchor>
        </w:drawing>
      </w:r>
    </w:p>
    <w:p>
      <w:pPr>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br w:type="page"/>
      </w:r>
    </w:p>
    <w:p>
      <w:pPr>
        <w:ind w:left="0" w:leftChars="0" w:firstLine="0" w:firstLineChars="0"/>
        <w:rPr>
          <w:rFonts w:hint="default" w:ascii="黑体" w:hAnsi="黑体" w:eastAsia="黑体" w:cs="黑体"/>
          <w:b/>
          <w:bCs/>
          <w:sz w:val="32"/>
          <w:szCs w:val="32"/>
          <w:lang w:val="en-US" w:eastAsia="zh-CN"/>
        </w:rPr>
      </w:pPr>
    </w:p>
    <w:p>
      <w:pPr>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anchor distT="0" distB="0" distL="114300" distR="114300" simplePos="0" relativeHeight="251671552" behindDoc="0" locked="0" layoutInCell="1" allowOverlap="1">
            <wp:simplePos x="0" y="0"/>
            <wp:positionH relativeFrom="column">
              <wp:posOffset>-1139825</wp:posOffset>
            </wp:positionH>
            <wp:positionV relativeFrom="paragraph">
              <wp:posOffset>1256030</wp:posOffset>
            </wp:positionV>
            <wp:extent cx="7576185" cy="5358130"/>
            <wp:effectExtent l="0" t="0" r="13970" b="5715"/>
            <wp:wrapNone/>
            <wp:docPr id="21" name="图片 21" descr="img-523051831-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523051831-0014"/>
                    <pic:cNvPicPr>
                      <a:picLocks noChangeAspect="1"/>
                    </pic:cNvPicPr>
                  </pic:nvPicPr>
                  <pic:blipFill>
                    <a:blip r:embed="rId47"/>
                    <a:stretch>
                      <a:fillRect/>
                    </a:stretch>
                  </pic:blipFill>
                  <pic:spPr>
                    <a:xfrm rot="16200000">
                      <a:off x="0" y="0"/>
                      <a:ext cx="7576185" cy="5358130"/>
                    </a:xfrm>
                    <a:prstGeom prst="rect">
                      <a:avLst/>
                    </a:prstGeom>
                  </pic:spPr>
                </pic:pic>
              </a:graphicData>
            </a:graphic>
          </wp:anchor>
        </w:drawing>
      </w:r>
      <w:r>
        <w:rPr>
          <w:rFonts w:hint="default" w:ascii="黑体" w:hAnsi="黑体" w:eastAsia="黑体" w:cs="黑体"/>
          <w:b/>
          <w:bCs/>
          <w:sz w:val="32"/>
          <w:szCs w:val="32"/>
          <w:lang w:val="en-US" w:eastAsia="zh-CN"/>
        </w:rPr>
        <w:br w:type="page"/>
      </w:r>
    </w:p>
    <w:p>
      <w:pPr>
        <w:ind w:left="0" w:leftChars="0" w:firstLine="0" w:firstLineChars="0"/>
        <w:rPr>
          <w:rFonts w:hint="default" w:ascii="黑体" w:hAnsi="黑体" w:eastAsia="黑体" w:cs="黑体"/>
          <w:b/>
          <w:bCs/>
          <w:sz w:val="32"/>
          <w:szCs w:val="32"/>
          <w:lang w:val="en-US" w:eastAsia="zh-CN"/>
        </w:rPr>
      </w:pPr>
    </w:p>
    <w:p>
      <w:pPr>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anchor distT="0" distB="0" distL="114300" distR="114300" simplePos="0" relativeHeight="251670528" behindDoc="0" locked="0" layoutInCell="1" allowOverlap="1">
            <wp:simplePos x="0" y="0"/>
            <wp:positionH relativeFrom="column">
              <wp:posOffset>-1057275</wp:posOffset>
            </wp:positionH>
            <wp:positionV relativeFrom="paragraph">
              <wp:posOffset>1203960</wp:posOffset>
            </wp:positionV>
            <wp:extent cx="7467600" cy="5281295"/>
            <wp:effectExtent l="0" t="0" r="14605" b="0"/>
            <wp:wrapNone/>
            <wp:docPr id="20" name="图片 20" descr="img-523051831-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523051831-0015"/>
                    <pic:cNvPicPr>
                      <a:picLocks noChangeAspect="1"/>
                    </pic:cNvPicPr>
                  </pic:nvPicPr>
                  <pic:blipFill>
                    <a:blip r:embed="rId48"/>
                    <a:stretch>
                      <a:fillRect/>
                    </a:stretch>
                  </pic:blipFill>
                  <pic:spPr>
                    <a:xfrm rot="16200000">
                      <a:off x="0" y="0"/>
                      <a:ext cx="7467600" cy="5281295"/>
                    </a:xfrm>
                    <a:prstGeom prst="rect">
                      <a:avLst/>
                    </a:prstGeom>
                  </pic:spPr>
                </pic:pic>
              </a:graphicData>
            </a:graphic>
          </wp:anchor>
        </w:drawing>
      </w:r>
      <w:r>
        <w:rPr>
          <w:rFonts w:hint="default" w:ascii="黑体" w:hAnsi="黑体" w:eastAsia="黑体" w:cs="黑体"/>
          <w:b/>
          <w:bCs/>
          <w:sz w:val="32"/>
          <w:szCs w:val="32"/>
          <w:lang w:val="en-US" w:eastAsia="zh-CN"/>
        </w:rPr>
        <w:br w:type="page"/>
      </w:r>
    </w:p>
    <w:p>
      <w:pPr>
        <w:ind w:left="0" w:leftChars="0" w:firstLine="0" w:firstLineChars="0"/>
        <w:rPr>
          <w:rFonts w:hint="default" w:ascii="黑体" w:hAnsi="黑体" w:eastAsia="黑体" w:cs="黑体"/>
          <w:b/>
          <w:bCs/>
          <w:sz w:val="32"/>
          <w:szCs w:val="32"/>
          <w:lang w:val="en-US" w:eastAsia="zh-CN"/>
        </w:rPr>
      </w:pPr>
    </w:p>
    <w:p>
      <w:pPr>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anchor distT="0" distB="0" distL="114300" distR="114300" simplePos="0" relativeHeight="251669504" behindDoc="0" locked="0" layoutInCell="1" allowOverlap="1">
            <wp:simplePos x="0" y="0"/>
            <wp:positionH relativeFrom="column">
              <wp:posOffset>-1199515</wp:posOffset>
            </wp:positionH>
            <wp:positionV relativeFrom="paragraph">
              <wp:posOffset>1157605</wp:posOffset>
            </wp:positionV>
            <wp:extent cx="7690485" cy="5438775"/>
            <wp:effectExtent l="0" t="0" r="9525" b="5715"/>
            <wp:wrapNone/>
            <wp:docPr id="19" name="图片 19" descr="img-523051831-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523051831-0016"/>
                    <pic:cNvPicPr>
                      <a:picLocks noChangeAspect="1"/>
                    </pic:cNvPicPr>
                  </pic:nvPicPr>
                  <pic:blipFill>
                    <a:blip r:embed="rId49"/>
                    <a:stretch>
                      <a:fillRect/>
                    </a:stretch>
                  </pic:blipFill>
                  <pic:spPr>
                    <a:xfrm rot="16200000">
                      <a:off x="0" y="0"/>
                      <a:ext cx="7690485" cy="5438775"/>
                    </a:xfrm>
                    <a:prstGeom prst="rect">
                      <a:avLst/>
                    </a:prstGeom>
                  </pic:spPr>
                </pic:pic>
              </a:graphicData>
            </a:graphic>
          </wp:anchor>
        </w:drawing>
      </w:r>
      <w:r>
        <w:rPr>
          <w:rFonts w:hint="default" w:ascii="黑体" w:hAnsi="黑体" w:eastAsia="黑体" w:cs="黑体"/>
          <w:b/>
          <w:bCs/>
          <w:sz w:val="32"/>
          <w:szCs w:val="32"/>
          <w:lang w:val="en-US" w:eastAsia="zh-CN"/>
        </w:rPr>
        <w:br w:type="page"/>
      </w:r>
    </w:p>
    <w:p>
      <w:pPr>
        <w:ind w:left="0" w:leftChars="0" w:firstLine="0" w:firstLineChars="0"/>
        <w:jc w:val="center"/>
        <w:rPr>
          <w:rFonts w:hint="default" w:ascii="黑体" w:hAnsi="黑体" w:eastAsia="黑体" w:cs="黑体"/>
          <w:b/>
          <w:bCs/>
          <w:sz w:val="32"/>
          <w:szCs w:val="32"/>
          <w:lang w:val="en-US" w:eastAsia="zh-CN"/>
        </w:rPr>
      </w:pPr>
    </w:p>
    <w:p>
      <w:pPr>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anchor distT="0" distB="0" distL="114300" distR="114300" simplePos="0" relativeHeight="251668480" behindDoc="0" locked="0" layoutInCell="1" allowOverlap="1">
            <wp:simplePos x="0" y="0"/>
            <wp:positionH relativeFrom="column">
              <wp:posOffset>-1114425</wp:posOffset>
            </wp:positionH>
            <wp:positionV relativeFrom="paragraph">
              <wp:posOffset>1228090</wp:posOffset>
            </wp:positionV>
            <wp:extent cx="7546340" cy="5337175"/>
            <wp:effectExtent l="0" t="0" r="15875" b="16510"/>
            <wp:wrapNone/>
            <wp:docPr id="18" name="图片 18" descr="img-523051831-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523051831-0017"/>
                    <pic:cNvPicPr>
                      <a:picLocks noChangeAspect="1"/>
                    </pic:cNvPicPr>
                  </pic:nvPicPr>
                  <pic:blipFill>
                    <a:blip r:embed="rId50"/>
                    <a:stretch>
                      <a:fillRect/>
                    </a:stretch>
                  </pic:blipFill>
                  <pic:spPr>
                    <a:xfrm rot="16200000">
                      <a:off x="0" y="0"/>
                      <a:ext cx="7546340" cy="5337175"/>
                    </a:xfrm>
                    <a:prstGeom prst="rect">
                      <a:avLst/>
                    </a:prstGeom>
                  </pic:spPr>
                </pic:pic>
              </a:graphicData>
            </a:graphic>
          </wp:anchor>
        </w:drawing>
      </w:r>
      <w:r>
        <w:rPr>
          <w:rFonts w:hint="default" w:ascii="黑体" w:hAnsi="黑体" w:eastAsia="黑体" w:cs="黑体"/>
          <w:b/>
          <w:bCs/>
          <w:sz w:val="32"/>
          <w:szCs w:val="32"/>
          <w:lang w:val="en-US" w:eastAsia="zh-CN"/>
        </w:rPr>
        <w:br w:type="page"/>
      </w:r>
    </w:p>
    <w:p>
      <w:pPr>
        <w:ind w:left="0" w:leftChars="0" w:firstLine="0" w:firstLineChars="0"/>
        <w:rPr>
          <w:rFonts w:hint="default" w:ascii="黑体" w:hAnsi="黑体" w:eastAsia="黑体" w:cs="黑体"/>
          <w:b/>
          <w:bCs/>
          <w:sz w:val="32"/>
          <w:szCs w:val="32"/>
          <w:lang w:val="en-US" w:eastAsia="zh-CN"/>
        </w:rPr>
      </w:pPr>
    </w:p>
    <w:p>
      <w:pPr>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anchor distT="0" distB="0" distL="114300" distR="114300" simplePos="0" relativeHeight="251667456" behindDoc="0" locked="0" layoutInCell="1" allowOverlap="1">
            <wp:simplePos x="0" y="0"/>
            <wp:positionH relativeFrom="column">
              <wp:posOffset>-1104265</wp:posOffset>
            </wp:positionH>
            <wp:positionV relativeFrom="paragraph">
              <wp:posOffset>1166495</wp:posOffset>
            </wp:positionV>
            <wp:extent cx="7508240" cy="5310505"/>
            <wp:effectExtent l="0" t="0" r="4445" b="16510"/>
            <wp:wrapNone/>
            <wp:docPr id="17" name="图片 17" descr="img-523051831-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523051831-0018"/>
                    <pic:cNvPicPr>
                      <a:picLocks noChangeAspect="1"/>
                    </pic:cNvPicPr>
                  </pic:nvPicPr>
                  <pic:blipFill>
                    <a:blip r:embed="rId51"/>
                    <a:stretch>
                      <a:fillRect/>
                    </a:stretch>
                  </pic:blipFill>
                  <pic:spPr>
                    <a:xfrm rot="16200000">
                      <a:off x="0" y="0"/>
                      <a:ext cx="7508240" cy="5310505"/>
                    </a:xfrm>
                    <a:prstGeom prst="rect">
                      <a:avLst/>
                    </a:prstGeom>
                  </pic:spPr>
                </pic:pic>
              </a:graphicData>
            </a:graphic>
          </wp:anchor>
        </w:drawing>
      </w:r>
      <w:r>
        <w:rPr>
          <w:rFonts w:hint="default" w:ascii="黑体" w:hAnsi="黑体" w:eastAsia="黑体" w:cs="黑体"/>
          <w:b/>
          <w:bCs/>
          <w:sz w:val="32"/>
          <w:szCs w:val="32"/>
          <w:lang w:val="en-US" w:eastAsia="zh-CN"/>
        </w:rPr>
        <w:br w:type="page"/>
      </w:r>
    </w:p>
    <w:p>
      <w:pPr>
        <w:ind w:left="0" w:leftChars="0" w:firstLine="0" w:firstLineChars="0"/>
        <w:rPr>
          <w:rFonts w:hint="default" w:ascii="黑体" w:hAnsi="黑体" w:eastAsia="黑体" w:cs="黑体"/>
          <w:b/>
          <w:bCs/>
          <w:sz w:val="32"/>
          <w:szCs w:val="32"/>
          <w:lang w:val="en-US" w:eastAsia="zh-CN"/>
        </w:rPr>
      </w:pPr>
    </w:p>
    <w:p>
      <w:pPr>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anchor distT="0" distB="0" distL="114300" distR="114300" simplePos="0" relativeHeight="251666432" behindDoc="0" locked="0" layoutInCell="1" allowOverlap="1">
            <wp:simplePos x="0" y="0"/>
            <wp:positionH relativeFrom="column">
              <wp:posOffset>-1156970</wp:posOffset>
            </wp:positionH>
            <wp:positionV relativeFrom="paragraph">
              <wp:posOffset>1193800</wp:posOffset>
            </wp:positionV>
            <wp:extent cx="7759700" cy="5487670"/>
            <wp:effectExtent l="0" t="0" r="17780" b="12700"/>
            <wp:wrapNone/>
            <wp:docPr id="16" name="图片 16" descr="img-523051831-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523051831-0019"/>
                    <pic:cNvPicPr>
                      <a:picLocks noChangeAspect="1"/>
                    </pic:cNvPicPr>
                  </pic:nvPicPr>
                  <pic:blipFill>
                    <a:blip r:embed="rId52"/>
                    <a:stretch>
                      <a:fillRect/>
                    </a:stretch>
                  </pic:blipFill>
                  <pic:spPr>
                    <a:xfrm rot="16200000">
                      <a:off x="0" y="0"/>
                      <a:ext cx="7759700" cy="5487670"/>
                    </a:xfrm>
                    <a:prstGeom prst="rect">
                      <a:avLst/>
                    </a:prstGeom>
                  </pic:spPr>
                </pic:pic>
              </a:graphicData>
            </a:graphic>
          </wp:anchor>
        </w:drawing>
      </w:r>
      <w:r>
        <w:rPr>
          <w:rFonts w:hint="default" w:ascii="黑体" w:hAnsi="黑体" w:eastAsia="黑体" w:cs="黑体"/>
          <w:b/>
          <w:bCs/>
          <w:sz w:val="32"/>
          <w:szCs w:val="32"/>
          <w:lang w:val="en-US" w:eastAsia="zh-CN"/>
        </w:rPr>
        <w:br w:type="page"/>
      </w:r>
    </w:p>
    <w:p>
      <w:pPr>
        <w:ind w:left="0" w:leftChars="0" w:firstLine="0" w:firstLineChars="0"/>
        <w:rPr>
          <w:rFonts w:hint="default" w:ascii="黑体" w:hAnsi="黑体" w:eastAsia="黑体" w:cs="黑体"/>
          <w:b/>
          <w:bCs/>
          <w:sz w:val="32"/>
          <w:szCs w:val="32"/>
          <w:lang w:val="en-US" w:eastAsia="zh-CN"/>
        </w:rPr>
      </w:pPr>
    </w:p>
    <w:p>
      <w:pPr>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anchor distT="0" distB="0" distL="114300" distR="114300" simplePos="0" relativeHeight="251665408" behindDoc="0" locked="0" layoutInCell="1" allowOverlap="1">
            <wp:simplePos x="0" y="0"/>
            <wp:positionH relativeFrom="column">
              <wp:posOffset>-1094105</wp:posOffset>
            </wp:positionH>
            <wp:positionV relativeFrom="paragraph">
              <wp:posOffset>1112520</wp:posOffset>
            </wp:positionV>
            <wp:extent cx="7547610" cy="5337810"/>
            <wp:effectExtent l="0" t="0" r="15240" b="15240"/>
            <wp:wrapNone/>
            <wp:docPr id="15" name="图片 15" descr="img-523051831-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523051831-0020"/>
                    <pic:cNvPicPr>
                      <a:picLocks noChangeAspect="1"/>
                    </pic:cNvPicPr>
                  </pic:nvPicPr>
                  <pic:blipFill>
                    <a:blip r:embed="rId53"/>
                    <a:stretch>
                      <a:fillRect/>
                    </a:stretch>
                  </pic:blipFill>
                  <pic:spPr>
                    <a:xfrm rot="16200000">
                      <a:off x="0" y="0"/>
                      <a:ext cx="7547610" cy="5337810"/>
                    </a:xfrm>
                    <a:prstGeom prst="rect">
                      <a:avLst/>
                    </a:prstGeom>
                  </pic:spPr>
                </pic:pic>
              </a:graphicData>
            </a:graphic>
          </wp:anchor>
        </w:drawing>
      </w:r>
      <w:r>
        <w:rPr>
          <w:rFonts w:hint="default" w:ascii="黑体" w:hAnsi="黑体" w:eastAsia="黑体" w:cs="黑体"/>
          <w:b/>
          <w:bCs/>
          <w:sz w:val="32"/>
          <w:szCs w:val="32"/>
          <w:lang w:val="en-US" w:eastAsia="zh-CN"/>
        </w:rPr>
        <w:br w:type="page"/>
      </w:r>
    </w:p>
    <w:p>
      <w:pPr>
        <w:ind w:left="0" w:leftChars="0" w:firstLine="0" w:firstLineChars="0"/>
        <w:rPr>
          <w:rFonts w:hint="default" w:ascii="黑体" w:hAnsi="黑体" w:eastAsia="黑体" w:cs="黑体"/>
          <w:b/>
          <w:bCs/>
          <w:sz w:val="32"/>
          <w:szCs w:val="32"/>
          <w:lang w:val="en-US" w:eastAsia="zh-CN"/>
        </w:rPr>
      </w:pPr>
    </w:p>
    <w:p>
      <w:pPr>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anchor distT="0" distB="0" distL="114300" distR="114300" simplePos="0" relativeHeight="251664384" behindDoc="0" locked="0" layoutInCell="1" allowOverlap="1">
            <wp:simplePos x="0" y="0"/>
            <wp:positionH relativeFrom="column">
              <wp:posOffset>-1168400</wp:posOffset>
            </wp:positionH>
            <wp:positionV relativeFrom="paragraph">
              <wp:posOffset>1167765</wp:posOffset>
            </wp:positionV>
            <wp:extent cx="7605395" cy="5378450"/>
            <wp:effectExtent l="0" t="0" r="12700" b="14605"/>
            <wp:wrapNone/>
            <wp:docPr id="14" name="图片 14" descr="img-523051831-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523051831-0021"/>
                    <pic:cNvPicPr>
                      <a:picLocks noChangeAspect="1"/>
                    </pic:cNvPicPr>
                  </pic:nvPicPr>
                  <pic:blipFill>
                    <a:blip r:embed="rId54"/>
                    <a:stretch>
                      <a:fillRect/>
                    </a:stretch>
                  </pic:blipFill>
                  <pic:spPr>
                    <a:xfrm rot="16200000">
                      <a:off x="0" y="0"/>
                      <a:ext cx="7605395" cy="5378450"/>
                    </a:xfrm>
                    <a:prstGeom prst="rect">
                      <a:avLst/>
                    </a:prstGeom>
                  </pic:spPr>
                </pic:pic>
              </a:graphicData>
            </a:graphic>
          </wp:anchor>
        </w:drawing>
      </w:r>
      <w:r>
        <w:rPr>
          <w:rFonts w:hint="default" w:ascii="黑体" w:hAnsi="黑体" w:eastAsia="黑体" w:cs="黑体"/>
          <w:b/>
          <w:bCs/>
          <w:sz w:val="32"/>
          <w:szCs w:val="32"/>
          <w:lang w:val="en-US" w:eastAsia="zh-CN"/>
        </w:rPr>
        <w:br w:type="page"/>
      </w:r>
    </w:p>
    <w:p>
      <w:pPr>
        <w:ind w:left="0" w:leftChars="0" w:firstLine="0" w:firstLineChars="0"/>
        <w:rPr>
          <w:rFonts w:hint="default" w:ascii="黑体" w:hAnsi="黑体" w:eastAsia="黑体" w:cs="黑体"/>
          <w:b/>
          <w:bCs/>
          <w:sz w:val="32"/>
          <w:szCs w:val="32"/>
          <w:lang w:val="en-US" w:eastAsia="zh-CN"/>
        </w:rPr>
      </w:pPr>
    </w:p>
    <w:p>
      <w:pPr>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anchor distT="0" distB="0" distL="114300" distR="114300" simplePos="0" relativeHeight="251663360" behindDoc="0" locked="0" layoutInCell="1" allowOverlap="1">
            <wp:simplePos x="0" y="0"/>
            <wp:positionH relativeFrom="column">
              <wp:posOffset>-1151890</wp:posOffset>
            </wp:positionH>
            <wp:positionV relativeFrom="paragraph">
              <wp:posOffset>1138555</wp:posOffset>
            </wp:positionV>
            <wp:extent cx="7564755" cy="5350510"/>
            <wp:effectExtent l="0" t="0" r="2540" b="17145"/>
            <wp:wrapNone/>
            <wp:docPr id="13" name="图片 13" descr="img-523051831-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523051831-0022"/>
                    <pic:cNvPicPr>
                      <a:picLocks noChangeAspect="1"/>
                    </pic:cNvPicPr>
                  </pic:nvPicPr>
                  <pic:blipFill>
                    <a:blip r:embed="rId55"/>
                    <a:stretch>
                      <a:fillRect/>
                    </a:stretch>
                  </pic:blipFill>
                  <pic:spPr>
                    <a:xfrm rot="16200000">
                      <a:off x="0" y="0"/>
                      <a:ext cx="7564755" cy="5350510"/>
                    </a:xfrm>
                    <a:prstGeom prst="rect">
                      <a:avLst/>
                    </a:prstGeom>
                  </pic:spPr>
                </pic:pic>
              </a:graphicData>
            </a:graphic>
          </wp:anchor>
        </w:drawing>
      </w:r>
      <w:r>
        <w:rPr>
          <w:rFonts w:hint="default" w:ascii="黑体" w:hAnsi="黑体" w:eastAsia="黑体" w:cs="黑体"/>
          <w:b/>
          <w:bCs/>
          <w:sz w:val="32"/>
          <w:szCs w:val="32"/>
          <w:lang w:val="en-US" w:eastAsia="zh-CN"/>
        </w:rPr>
        <w:br w:type="page"/>
      </w:r>
    </w:p>
    <w:p>
      <w:pPr>
        <w:ind w:left="0" w:leftChars="0" w:firstLine="0" w:firstLineChars="0"/>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anchor distT="0" distB="0" distL="114300" distR="114300" simplePos="0" relativeHeight="251662336" behindDoc="0" locked="0" layoutInCell="1" allowOverlap="1">
            <wp:simplePos x="0" y="0"/>
            <wp:positionH relativeFrom="column">
              <wp:posOffset>-1137920</wp:posOffset>
            </wp:positionH>
            <wp:positionV relativeFrom="paragraph">
              <wp:posOffset>1505585</wp:posOffset>
            </wp:positionV>
            <wp:extent cx="7581265" cy="5361305"/>
            <wp:effectExtent l="0" t="0" r="10795" b="635"/>
            <wp:wrapNone/>
            <wp:docPr id="12" name="图片 12" descr="img-523051831-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523051831-0023"/>
                    <pic:cNvPicPr>
                      <a:picLocks noChangeAspect="1"/>
                    </pic:cNvPicPr>
                  </pic:nvPicPr>
                  <pic:blipFill>
                    <a:blip r:embed="rId56"/>
                    <a:stretch>
                      <a:fillRect/>
                    </a:stretch>
                  </pic:blipFill>
                  <pic:spPr>
                    <a:xfrm rot="16200000">
                      <a:off x="0" y="0"/>
                      <a:ext cx="7581265" cy="5361305"/>
                    </a:xfrm>
                    <a:prstGeom prst="rect">
                      <a:avLst/>
                    </a:prstGeom>
                  </pic:spPr>
                </pic:pic>
              </a:graphicData>
            </a:graphic>
          </wp:anchor>
        </w:drawing>
      </w:r>
    </w:p>
    <w:p>
      <w:pPr>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br w:type="page"/>
      </w:r>
    </w:p>
    <w:p>
      <w:pPr>
        <w:ind w:left="0" w:leftChars="0" w:firstLine="0" w:firstLineChars="0"/>
        <w:rPr>
          <w:rFonts w:hint="default" w:ascii="黑体" w:hAnsi="黑体" w:eastAsia="黑体" w:cs="黑体"/>
          <w:b/>
          <w:bCs/>
          <w:sz w:val="32"/>
          <w:szCs w:val="32"/>
          <w:lang w:val="en-US" w:eastAsia="zh-CN"/>
        </w:rPr>
      </w:pPr>
    </w:p>
    <w:p>
      <w:pPr>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anchor distT="0" distB="0" distL="114300" distR="114300" simplePos="0" relativeHeight="251661312" behindDoc="0" locked="0" layoutInCell="1" allowOverlap="1">
            <wp:simplePos x="0" y="0"/>
            <wp:positionH relativeFrom="column">
              <wp:posOffset>-1080135</wp:posOffset>
            </wp:positionH>
            <wp:positionV relativeFrom="paragraph">
              <wp:posOffset>1124585</wp:posOffset>
            </wp:positionV>
            <wp:extent cx="7432675" cy="5256530"/>
            <wp:effectExtent l="0" t="0" r="1270" b="15875"/>
            <wp:wrapNone/>
            <wp:docPr id="11" name="图片 11" descr="img-523051831-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523051831-0024"/>
                    <pic:cNvPicPr>
                      <a:picLocks noChangeAspect="1"/>
                    </pic:cNvPicPr>
                  </pic:nvPicPr>
                  <pic:blipFill>
                    <a:blip r:embed="rId57"/>
                    <a:stretch>
                      <a:fillRect/>
                    </a:stretch>
                  </pic:blipFill>
                  <pic:spPr>
                    <a:xfrm rot="16200000">
                      <a:off x="0" y="0"/>
                      <a:ext cx="7432675" cy="5256530"/>
                    </a:xfrm>
                    <a:prstGeom prst="rect">
                      <a:avLst/>
                    </a:prstGeom>
                  </pic:spPr>
                </pic:pic>
              </a:graphicData>
            </a:graphic>
          </wp:anchor>
        </w:drawing>
      </w:r>
      <w:r>
        <w:rPr>
          <w:rFonts w:hint="default" w:ascii="黑体" w:hAnsi="黑体" w:eastAsia="黑体" w:cs="黑体"/>
          <w:b/>
          <w:bCs/>
          <w:sz w:val="32"/>
          <w:szCs w:val="32"/>
          <w:lang w:val="en-US" w:eastAsia="zh-CN"/>
        </w:rPr>
        <w:br w:type="page"/>
      </w:r>
    </w:p>
    <w:p>
      <w:pPr>
        <w:ind w:left="0" w:leftChars="0" w:firstLine="0" w:firstLineChars="0"/>
        <w:rPr>
          <w:rFonts w:hint="default" w:ascii="黑体" w:hAnsi="黑体" w:eastAsia="黑体" w:cs="黑体"/>
          <w:b/>
          <w:bCs/>
          <w:sz w:val="32"/>
          <w:szCs w:val="32"/>
          <w:lang w:val="en-US" w:eastAsia="zh-CN"/>
        </w:rPr>
      </w:pPr>
    </w:p>
    <w:p>
      <w:pPr>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anchor distT="0" distB="0" distL="114300" distR="114300" simplePos="0" relativeHeight="251660288" behindDoc="0" locked="0" layoutInCell="1" allowOverlap="1">
            <wp:simplePos x="0" y="0"/>
            <wp:positionH relativeFrom="column">
              <wp:posOffset>-1088390</wp:posOffset>
            </wp:positionH>
            <wp:positionV relativeFrom="paragraph">
              <wp:posOffset>1147445</wp:posOffset>
            </wp:positionV>
            <wp:extent cx="7516495" cy="5315585"/>
            <wp:effectExtent l="0" t="0" r="18415" b="8255"/>
            <wp:wrapNone/>
            <wp:docPr id="10" name="图片 10" descr="img-523051831-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523051831-0025"/>
                    <pic:cNvPicPr>
                      <a:picLocks noChangeAspect="1"/>
                    </pic:cNvPicPr>
                  </pic:nvPicPr>
                  <pic:blipFill>
                    <a:blip r:embed="rId58"/>
                    <a:stretch>
                      <a:fillRect/>
                    </a:stretch>
                  </pic:blipFill>
                  <pic:spPr>
                    <a:xfrm rot="16200000">
                      <a:off x="0" y="0"/>
                      <a:ext cx="7516495" cy="5315585"/>
                    </a:xfrm>
                    <a:prstGeom prst="rect">
                      <a:avLst/>
                    </a:prstGeom>
                  </pic:spPr>
                </pic:pic>
              </a:graphicData>
            </a:graphic>
          </wp:anchor>
        </w:drawing>
      </w:r>
      <w:r>
        <w:rPr>
          <w:rFonts w:hint="default" w:ascii="黑体" w:hAnsi="黑体" w:eastAsia="黑体" w:cs="黑体"/>
          <w:b/>
          <w:bCs/>
          <w:sz w:val="32"/>
          <w:szCs w:val="32"/>
          <w:lang w:val="en-US" w:eastAsia="zh-CN"/>
        </w:rPr>
        <w:br w:type="page"/>
      </w:r>
    </w:p>
    <w:p>
      <w:pPr>
        <w:ind w:left="0" w:leftChars="0" w:firstLine="0" w:firstLineChars="0"/>
        <w:rPr>
          <w:rFonts w:hint="default" w:ascii="黑体" w:hAnsi="黑体" w:eastAsia="黑体" w:cs="黑体"/>
          <w:b/>
          <w:bCs/>
          <w:sz w:val="32"/>
          <w:szCs w:val="32"/>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default" w:ascii="黑体" w:hAnsi="黑体" w:eastAsia="黑体" w:cs="黑体"/>
          <w:b/>
          <w:bCs/>
          <w:sz w:val="32"/>
          <w:szCs w:val="32"/>
          <w:lang w:val="en-US" w:eastAsia="zh-CN"/>
        </w:rPr>
        <w:drawing>
          <wp:anchor distT="0" distB="0" distL="114300" distR="114300" simplePos="0" relativeHeight="251659264" behindDoc="0" locked="0" layoutInCell="1" allowOverlap="1">
            <wp:simplePos x="0" y="0"/>
            <wp:positionH relativeFrom="column">
              <wp:posOffset>-1149350</wp:posOffset>
            </wp:positionH>
            <wp:positionV relativeFrom="page">
              <wp:posOffset>2466975</wp:posOffset>
            </wp:positionV>
            <wp:extent cx="7581265" cy="5361305"/>
            <wp:effectExtent l="0" t="0" r="10795" b="635"/>
            <wp:wrapNone/>
            <wp:docPr id="9" name="图片 9" descr="img-523051831-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523051831-0026"/>
                    <pic:cNvPicPr>
                      <a:picLocks noChangeAspect="1"/>
                    </pic:cNvPicPr>
                  </pic:nvPicPr>
                  <pic:blipFill>
                    <a:blip r:embed="rId59"/>
                    <a:stretch>
                      <a:fillRect/>
                    </a:stretch>
                  </pic:blipFill>
                  <pic:spPr>
                    <a:xfrm rot="16200000">
                      <a:off x="0" y="0"/>
                      <a:ext cx="7581265" cy="5361305"/>
                    </a:xfrm>
                    <a:prstGeom prst="rect">
                      <a:avLst/>
                    </a:prstGeom>
                  </pic:spPr>
                </pic:pic>
              </a:graphicData>
            </a:graphic>
          </wp:anchor>
        </w:drawing>
      </w:r>
    </w:p>
    <w:p>
      <w:pPr>
        <w:spacing w:line="14" w:lineRule="auto"/>
        <w:ind w:left="0" w:leftChars="0" w:firstLine="0" w:firstLineChars="0"/>
        <w:rPr>
          <w:rFonts w:hint="default"/>
        </w:rPr>
      </w:pPr>
    </w:p>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Calibri Light">
    <w:panose1 w:val="020F0302020204030204"/>
    <w:charset w:val="00"/>
    <w:family w:val="swiss"/>
    <w:pitch w:val="default"/>
    <w:sig w:usb0="E4002EFF" w:usb1="C000247B" w:usb2="00000009" w:usb3="00000000" w:csb0="200001FF" w:csb1="00000000"/>
  </w:font>
  <w:font w:name="华文中宋">
    <w:panose1 w:val="02010600040101010101"/>
    <w:charset w:val="86"/>
    <w:family w:val="auto"/>
    <w:pitch w:val="default"/>
    <w:sig w:usb0="00000287" w:usb1="080F0000" w:usb2="00000000" w:usb3="00000000" w:csb0="0004009F" w:csb1="DFD7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仿宋_GB2312_TW">
    <w:altName w:val="仿宋"/>
    <w:panose1 w:val="00000000000000000000"/>
    <w:charset w:val="86"/>
    <w:family w:val="roman"/>
    <w:pitch w:val="default"/>
    <w:sig w:usb0="00000000" w:usb1="00000000" w:usb2="00000010" w:usb3="00000000" w:csb0="00040000" w:csb1="00000000"/>
  </w:font>
  <w:font w:name="ˎ̥">
    <w:altName w:val="Times New Roman"/>
    <w:panose1 w:val="00000000000000000000"/>
    <w:charset w:val="00"/>
    <w:family w:val="roman"/>
    <w:pitch w:val="default"/>
    <w:sig w:usb0="00000000" w:usb1="00000000" w:usb2="00000000" w:usb3="00000000" w:csb0="00040001" w:csb1="00000000"/>
  </w:font>
  <w:font w:name="Tahoma">
    <w:panose1 w:val="020B0604030504040204"/>
    <w:charset w:val="00"/>
    <w:family w:val="swiss"/>
    <w:pitch w:val="default"/>
    <w:sig w:usb0="E1002EFF" w:usb1="C000605B" w:usb2="00000029" w:usb3="00000000" w:csb0="200101FF" w:csb1="20280000"/>
  </w:font>
  <w:font w:name="Microsoft YaHei UI">
    <w:panose1 w:val="020B0503020204020204"/>
    <w:charset w:val="86"/>
    <w:family w:val="swiss"/>
    <w:pitch w:val="default"/>
    <w:sig w:usb0="80000287" w:usb1="2ACF3C50" w:usb2="00000016" w:usb3="00000000" w:csb0="0004001F" w:csb1="00000000"/>
  </w:font>
  <w:font w:name="Times">
    <w:altName w:val="Times New Roman"/>
    <w:panose1 w:val="02020603050405020304"/>
    <w:charset w:val="00"/>
    <w:family w:val="roman"/>
    <w:pitch w:val="default"/>
    <w:sig w:usb0="00000000" w:usb1="00000000" w:usb2="00000009" w:usb3="00000000" w:csb0="000001FF" w:csb1="00000000"/>
  </w:font>
  <w:font w:name="楷体_GB2312">
    <w:altName w:val="楷体"/>
    <w:panose1 w:val="00000000000000000000"/>
    <w:charset w:val="86"/>
    <w:family w:val="modern"/>
    <w:pitch w:val="default"/>
    <w:sig w:usb0="00000000" w:usb1="00000000" w:usb2="00000010" w:usb3="00000000" w:csb0="00040000"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pPr>
    <w:r>
      <w:rPr>
        <w:sz w:val="18"/>
      </w:rPr>
      <mc:AlternateContent>
        <mc:Choice Requires="wps">
          <w:drawing>
            <wp:anchor distT="0" distB="0" distL="114300" distR="114300" simplePos="0" relativeHeight="251665408" behindDoc="0" locked="0" layoutInCell="1" allowOverlap="1">
              <wp:simplePos x="0" y="0"/>
              <wp:positionH relativeFrom="margin">
                <wp:posOffset>2464435</wp:posOffset>
              </wp:positionH>
              <wp:positionV relativeFrom="paragraph">
                <wp:posOffset>0</wp:posOffset>
              </wp:positionV>
              <wp:extent cx="433070" cy="1270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433070" cy="1270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7"/>
                          </w:pPr>
                          <w:r>
                            <w:fldChar w:fldCharType="begin"/>
                          </w:r>
                          <w:r>
                            <w:instrText xml:space="preserve"> PAGE  \* MERGEFORMAT </w:instrText>
                          </w:r>
                          <w:r>
                            <w:fldChar w:fldCharType="separate"/>
                          </w:r>
                          <w:r>
                            <w:t>ii</w:t>
                          </w:r>
                          <w: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194.05pt;margin-top:0pt;height:10pt;width:34.1pt;mso-position-horizontal-relative:margin;z-index:251665408;mso-width-relative:page;mso-height-relative:page;" filled="f" stroked="f" coordsize="21600,21600" o:gfxdata="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">
              <v:fill on="f" focussize="0,0"/>
              <v:stroke on="f" weight="0.5pt"/>
              <v:imagedata o:title=""/>
              <o:lock v:ext="edit" aspectratio="f"/>
              <v:textbox inset="0mm,0mm,0mm,0mm">
                <w:txbxContent>
                  <w:p>
                    <w:pPr>
                      <w:pStyle w:val="27"/>
                    </w:pPr>
                    <w:r>
                      <w:fldChar w:fldCharType="begin"/>
                    </w:r>
                    <w:r>
                      <w:instrText xml:space="preserve"> PAGE  \* MERGEFORMAT </w:instrText>
                    </w:r>
                    <w:r>
                      <w:fldChar w:fldCharType="separate"/>
                    </w:r>
                    <w:r>
                      <w:t>ii</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jc w:val="center"/>
    </w:pPr>
    <w:r>
      <w:rPr>
        <w:sz w:val="18"/>
      </w:rPr>
      <mc:AlternateContent>
        <mc:Choice Requires="wps">
          <w:drawing>
            <wp:anchor distT="0" distB="0" distL="114300" distR="114300" simplePos="0" relativeHeight="251663360" behindDoc="0" locked="0" layoutInCell="1" allowOverlap="1">
              <wp:simplePos x="0" y="0"/>
              <wp:positionH relativeFrom="margin">
                <wp:posOffset>2464435</wp:posOffset>
              </wp:positionH>
              <wp:positionV relativeFrom="paragraph">
                <wp:posOffset>0</wp:posOffset>
              </wp:positionV>
              <wp:extent cx="455295"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455295"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7"/>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squar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194.05pt;margin-top:0pt;height:144pt;width:35.85pt;mso-position-horizontal-relative:margin;z-index:251663360;mso-width-relative:page;mso-height-relative:page;" filled="f" stroked="f" coordsize="21600,21600" o:gfxdata="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">
              <v:fill on="f" focussize="0,0"/>
              <v:stroke on="f" weight="0.5pt"/>
              <v:imagedata o:title=""/>
              <o:lock v:ext="edit" aspectratio="f"/>
              <v:textbox inset="0mm,0mm,0mm,0mm" style="mso-fit-shape-to-text:t;">
                <w:txbxContent>
                  <w:p>
                    <w:pPr>
                      <w:pStyle w:val="27"/>
                    </w:pPr>
                    <w:r>
                      <w:fldChar w:fldCharType="begin"/>
                    </w:r>
                    <w:r>
                      <w:instrText xml:space="preserve"> PAGE  \* MERGEFORMAT </w:instrText>
                    </w:r>
                    <w:r>
                      <w:fldChar w:fldCharType="separate"/>
                    </w:r>
                    <w:r>
                      <w:t>i</w:t>
                    </w:r>
                    <w:r>
                      <w:fldChar w:fldCharType="end"/>
                    </w:r>
                  </w:p>
                </w:txbxContent>
              </v:textbox>
            </v:shape>
          </w:pict>
        </mc:Fallback>
      </mc:AlternateContent>
    </w:r>
  </w:p>
  <w:p>
    <w:pPr>
      <w:pStyle w:val="27"/>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jc w:val="cente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41275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41275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7"/>
                          </w:pPr>
                          <w:r>
                            <w:fldChar w:fldCharType="begin"/>
                          </w:r>
                          <w:r>
                            <w:instrText xml:space="preserve"> PAGE  \* MERGEFORMAT </w:instrText>
                          </w:r>
                          <w:r>
                            <w:fldChar w:fldCharType="separate"/>
                          </w:r>
                          <w:r>
                            <w:t>xxxiv</w:t>
                          </w:r>
                          <w:r>
                            <w:fldChar w:fldCharType="end"/>
                          </w:r>
                        </w:p>
                      </w:txbxContent>
                    </wps:txbx>
                    <wps:bodyPr rot="0" spcFirstLastPara="0" vertOverflow="overflow" horzOverflow="overflow" vert="horz" wrap="squar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32.5pt;mso-position-horizontal:center;mso-position-horizontal-relative:margin;z-index:251664384;mso-width-relative:page;mso-height-relative:page;" filled="f" stroked="f" coordsize="21600,21600" o:gfxdata="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">
              <v:fill on="f" focussize="0,0"/>
              <v:stroke on="f" weight="0.5pt"/>
              <v:imagedata o:title=""/>
              <o:lock v:ext="edit" aspectratio="f"/>
              <v:textbox inset="0mm,0mm,0mm,0mm" style="mso-fit-shape-to-text:t;">
                <w:txbxContent>
                  <w:p>
                    <w:pPr>
                      <w:pStyle w:val="27"/>
                    </w:pPr>
                    <w:r>
                      <w:fldChar w:fldCharType="begin"/>
                    </w:r>
                    <w:r>
                      <w:instrText xml:space="preserve"> PAGE  \* MERGEFORMAT </w:instrText>
                    </w:r>
                    <w:r>
                      <w:fldChar w:fldCharType="separate"/>
                    </w:r>
                    <w:r>
                      <w:t>xxxiv</w:t>
                    </w:r>
                    <w:r>
                      <w:fldChar w:fldCharType="end"/>
                    </w:r>
                  </w:p>
                </w:txbxContent>
              </v:textbox>
            </v:shape>
          </w:pict>
        </mc:Fallback>
      </mc:AlternateContent>
    </w:r>
  </w:p>
  <w:p>
    <w:pPr>
      <w:pStyle w:val="27"/>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Bdr>
        <w:bottom w:val="none" w:color="auto" w:sz="0" w:space="0"/>
      </w:pBdr>
      <w:ind w:firstLine="360"/>
      <w:rPr>
        <w:i/>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Bdr>
        <w:bottom w:val="none" w:color="auto" w:sz="0" w:space="0"/>
      </w:pBdr>
      <w:ind w:firstLine="360"/>
      <w:rPr>
        <w:i/>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Bdr>
        <w:bottom w:val="none" w:color="auto" w:sz="0" w:space="0"/>
      </w:pBdr>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ind w:firstLine="360"/>
      <w:rPr>
        <w:vanish/>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ind w:firstLine="360"/>
      <w:rPr>
        <w:vanish/>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80" w:firstLine="0" w:firstLineChars="0"/>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CC27F7D"/>
    <w:multiLevelType w:val="multilevel"/>
    <w:tmpl w:val="1CC27F7D"/>
    <w:lvl w:ilvl="0" w:tentative="0">
      <w:start w:val="1"/>
      <w:numFmt w:val="decimal"/>
      <w:pStyle w:val="105"/>
      <w:suff w:val="space"/>
      <w:lvlText w:val="第%1章 "/>
      <w:lvlJc w:val="left"/>
      <w:pPr>
        <w:ind w:left="0" w:firstLine="0"/>
      </w:pPr>
      <w:rPr>
        <w:rFonts w:hint="default" w:ascii="Times New Roman" w:hAnsi="Times New Roman" w:eastAsia="黑体"/>
        <w:b w:val="0"/>
        <w:i w:val="0"/>
        <w:sz w:val="32"/>
        <w:lang w:val="en-US"/>
      </w:rPr>
    </w:lvl>
    <w:lvl w:ilvl="1" w:tentative="0">
      <w:start w:val="1"/>
      <w:numFmt w:val="decimal"/>
      <w:suff w:val="space"/>
      <w:lvlText w:val="%1.%2 "/>
      <w:lvlJc w:val="left"/>
      <w:pPr>
        <w:ind w:left="0" w:firstLine="0"/>
      </w:pPr>
      <w:rPr>
        <w:rFonts w:hint="default" w:ascii="Times New Roman" w:hAnsi="Times New Roman" w:eastAsia="黑体"/>
        <w:b w:val="0"/>
        <w:i w:val="0"/>
        <w:sz w:val="30"/>
      </w:rPr>
    </w:lvl>
    <w:lvl w:ilvl="2" w:tentative="0">
      <w:start w:val="1"/>
      <w:numFmt w:val="decimal"/>
      <w:suff w:val="space"/>
      <w:lvlText w:val="%1.%2.%3 "/>
      <w:lvlJc w:val="left"/>
      <w:pPr>
        <w:ind w:left="0" w:firstLine="0"/>
      </w:pPr>
      <w:rPr>
        <w:rFonts w:hint="default" w:ascii="Times New Roman" w:hAnsi="Times New Roman" w:eastAsia="黑体"/>
        <w:b w:val="0"/>
        <w:i w:val="0"/>
        <w:sz w:val="28"/>
      </w:rPr>
    </w:lvl>
    <w:lvl w:ilvl="3" w:tentative="0">
      <w:start w:val="1"/>
      <w:numFmt w:val="decimal"/>
      <w:suff w:val="space"/>
      <w:lvlText w:val="%1.%2.%3.%4 "/>
      <w:lvlJc w:val="left"/>
      <w:pPr>
        <w:ind w:left="0" w:firstLine="0"/>
      </w:pPr>
      <w:rPr>
        <w:rFonts w:hint="default" w:ascii="Times New Roman" w:hAnsi="Times New Roman" w:eastAsia="宋体"/>
        <w:b w:val="0"/>
        <w:i w:val="0"/>
        <w:sz w:val="24"/>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
    <w:nsid w:val="309D241C"/>
    <w:multiLevelType w:val="multilevel"/>
    <w:tmpl w:val="309D241C"/>
    <w:lvl w:ilvl="0" w:tentative="0">
      <w:start w:val="1"/>
      <w:numFmt w:val="decimal"/>
      <w:pStyle w:val="2"/>
      <w:isLgl/>
      <w:suff w:val="space"/>
      <w:lvlText w:val="%1"/>
      <w:lvlJc w:val="left"/>
      <w:pPr>
        <w:ind w:left="0" w:firstLine="0"/>
      </w:pPr>
      <w:rPr>
        <w:rFonts w:hint="default" w:ascii="Times New Roman" w:hAnsi="Times New Roman" w:eastAsia="黑体"/>
        <w:b/>
        <w:i w:val="0"/>
        <w:sz w:val="32"/>
      </w:rPr>
    </w:lvl>
    <w:lvl w:ilvl="1" w:tentative="0">
      <w:start w:val="1"/>
      <w:numFmt w:val="decimal"/>
      <w:pStyle w:val="3"/>
      <w:isLgl/>
      <w:suff w:val="space"/>
      <w:lvlText w:val="%1.%2"/>
      <w:lvlJc w:val="left"/>
      <w:pPr>
        <w:ind w:left="0" w:firstLine="0"/>
      </w:pPr>
      <w:rPr>
        <w:rFonts w:hint="default" w:ascii="Times New Roman" w:hAnsi="Times New Roman" w:eastAsia="黑体"/>
        <w:b/>
        <w:i w:val="0"/>
        <w:sz w:val="30"/>
      </w:rPr>
    </w:lvl>
    <w:lvl w:ilvl="2" w:tentative="0">
      <w:start w:val="1"/>
      <w:numFmt w:val="decimal"/>
      <w:pStyle w:val="5"/>
      <w:isLgl/>
      <w:suff w:val="space"/>
      <w:lvlText w:val="%1.%2.%3"/>
      <w:lvlJc w:val="left"/>
      <w:pPr>
        <w:ind w:left="0" w:firstLine="0"/>
      </w:pPr>
      <w:rPr>
        <w:rFonts w:hint="default" w:ascii="Times New Roman" w:hAnsi="Times New Roman" w:eastAsia="宋体"/>
        <w:b/>
        <w:i w:val="0"/>
        <w:sz w:val="28"/>
      </w:rPr>
    </w:lvl>
    <w:lvl w:ilvl="3" w:tentative="0">
      <w:start w:val="1"/>
      <w:numFmt w:val="decimal"/>
      <w:pStyle w:val="6"/>
      <w:isLgl/>
      <w:suff w:val="space"/>
      <w:lvlText w:val="%1.%2.%3.%4"/>
      <w:lvlJc w:val="left"/>
      <w:pPr>
        <w:ind w:left="567" w:firstLine="0"/>
      </w:pPr>
      <w:rPr>
        <w:rFonts w:hint="default" w:ascii="Times New Roman" w:hAnsi="Times New Roman" w:eastAsia="宋体"/>
        <w:b/>
        <w:i w:val="0"/>
        <w:sz w:val="24"/>
      </w:rPr>
    </w:lvl>
    <w:lvl w:ilvl="4" w:tentative="0">
      <w:start w:val="1"/>
      <w:numFmt w:val="decimal"/>
      <w:pStyle w:val="8"/>
      <w:isLgl/>
      <w:suff w:val="space"/>
      <w:lvlText w:val="%1.%2.%3.%4.%5"/>
      <w:lvlJc w:val="left"/>
      <w:pPr>
        <w:ind w:left="142" w:firstLine="0"/>
      </w:pPr>
      <w:rPr>
        <w:rFonts w:hint="default" w:ascii="Times New Roman" w:hAnsi="Times New Roman" w:eastAsia="宋体"/>
        <w:b/>
        <w:i w:val="0"/>
        <w:color w:val="000000" w:themeColor="text1"/>
        <w:sz w:val="24"/>
        <w14:textFill>
          <w14:solidFill>
            <w14:schemeClr w14:val="tx1"/>
          </w14:solidFill>
        </w14:textFill>
      </w:rPr>
    </w:lvl>
    <w:lvl w:ilvl="5" w:tentative="0">
      <w:start w:val="1"/>
      <w:numFmt w:val="decimal"/>
      <w:isLgl/>
      <w:lvlText w:val="%1.%2.%3.%4.%5.%6."/>
      <w:lvlJc w:val="left"/>
      <w:pPr>
        <w:ind w:left="1134" w:hanging="1134"/>
      </w:pPr>
      <w:rPr>
        <w:rFonts w:hint="eastAsia"/>
      </w:rPr>
    </w:lvl>
    <w:lvl w:ilvl="6" w:tentative="0">
      <w:start w:val="1"/>
      <w:numFmt w:val="decimal"/>
      <w:suff w:val="space"/>
      <w:lvlText w:val="附表%7"/>
      <w:lvlJc w:val="left"/>
      <w:pPr>
        <w:ind w:left="0" w:firstLine="0"/>
      </w:pPr>
      <w:rPr>
        <w:rFonts w:hint="eastAsia"/>
      </w:rPr>
    </w:lvl>
    <w:lvl w:ilvl="7" w:tentative="0">
      <w:start w:val="1"/>
      <w:numFmt w:val="decimal"/>
      <w:isLgl/>
      <w:suff w:val="space"/>
      <w:lvlText w:val="附件%8"/>
      <w:lvlJc w:val="left"/>
      <w:pPr>
        <w:ind w:left="1418" w:hanging="1418"/>
      </w:pPr>
      <w:rPr>
        <w:rFonts w:hint="default" w:ascii="Times New Roman" w:hAnsi="Times New Roman" w:eastAsia="宋体"/>
        <w:b/>
        <w:i w:val="0"/>
        <w:sz w:val="24"/>
      </w:rPr>
    </w:lvl>
    <w:lvl w:ilvl="8" w:tentative="0">
      <w:start w:val="1"/>
      <w:numFmt w:val="decimal"/>
      <w:isLgl/>
      <w:lvlText w:val="%1.%2.%3.%4.%5.%6.%7.%8.%9."/>
      <w:lvlJc w:val="left"/>
      <w:pPr>
        <w:ind w:left="1559" w:hanging="1559"/>
      </w:pPr>
      <w:rPr>
        <w:rFonts w:hint="eastAsia"/>
      </w:rPr>
    </w:lvl>
  </w:abstractNum>
  <w:abstractNum w:abstractNumId="2">
    <w:nsid w:val="71E77F91"/>
    <w:multiLevelType w:val="multilevel"/>
    <w:tmpl w:val="71E77F91"/>
    <w:lvl w:ilvl="0" w:tentative="0">
      <w:start w:val="4"/>
      <w:numFmt w:val="japaneseCounting"/>
      <w:lvlText w:val="第%1章"/>
      <w:lvlJc w:val="left"/>
      <w:pPr>
        <w:tabs>
          <w:tab w:val="left" w:pos="1755"/>
        </w:tabs>
        <w:ind w:left="1755" w:hanging="1755"/>
      </w:pPr>
      <w:rPr>
        <w:rFonts w:hint="default"/>
      </w:rPr>
    </w:lvl>
    <w:lvl w:ilvl="1" w:tentative="0">
      <w:start w:val="2"/>
      <w:numFmt w:val="japaneseCounting"/>
      <w:lvlText w:val="第%2节"/>
      <w:lvlJc w:val="left"/>
      <w:pPr>
        <w:tabs>
          <w:tab w:val="left" w:pos="1140"/>
        </w:tabs>
        <w:ind w:left="1140" w:hanging="720"/>
      </w:pPr>
      <w:rPr>
        <w:rFonts w:hint="default"/>
      </w:rPr>
    </w:lvl>
    <w:lvl w:ilvl="2" w:tentative="0">
      <w:start w:val="1"/>
      <w:numFmt w:val="lowerRoman"/>
      <w:pStyle w:val="194"/>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hideSpellingErrors/>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ZkZDU4MjYyYjQxYWFmY2U1MzYxMDI5MDI5YmI1YjkifQ=="/>
    <w:docVar w:name="EN.InstantFormat" w:val="&lt;ENInstantFormat&gt;&lt;Enabled&gt;1&lt;/Enabled&gt;&lt;ScanUnformatted&gt;1&lt;/ScanUnformatted&gt;&lt;ScanChanges&gt;1&lt;/ScanChanges&gt;&lt;Suspended&gt;1&lt;/Suspended&gt;&lt;/ENInstantFormat&gt;"/>
  </w:docVars>
  <w:rsids>
    <w:rsidRoot w:val="00172A27"/>
    <w:rsid w:val="0000097E"/>
    <w:rsid w:val="000019F0"/>
    <w:rsid w:val="00001BCD"/>
    <w:rsid w:val="00001EB6"/>
    <w:rsid w:val="00002F84"/>
    <w:rsid w:val="00003490"/>
    <w:rsid w:val="00003619"/>
    <w:rsid w:val="00003835"/>
    <w:rsid w:val="00004308"/>
    <w:rsid w:val="0000495F"/>
    <w:rsid w:val="00004A03"/>
    <w:rsid w:val="00004B10"/>
    <w:rsid w:val="000054D4"/>
    <w:rsid w:val="00005AB8"/>
    <w:rsid w:val="00005C30"/>
    <w:rsid w:val="00007CDC"/>
    <w:rsid w:val="0001023C"/>
    <w:rsid w:val="00010240"/>
    <w:rsid w:val="0001148B"/>
    <w:rsid w:val="00012914"/>
    <w:rsid w:val="00012A37"/>
    <w:rsid w:val="000130C8"/>
    <w:rsid w:val="000135C5"/>
    <w:rsid w:val="0001394C"/>
    <w:rsid w:val="00013FD8"/>
    <w:rsid w:val="000152EB"/>
    <w:rsid w:val="00015DA1"/>
    <w:rsid w:val="000166FC"/>
    <w:rsid w:val="00016757"/>
    <w:rsid w:val="00016DE9"/>
    <w:rsid w:val="00017F5E"/>
    <w:rsid w:val="00020867"/>
    <w:rsid w:val="0002125E"/>
    <w:rsid w:val="000218D5"/>
    <w:rsid w:val="00022883"/>
    <w:rsid w:val="00022EA5"/>
    <w:rsid w:val="00024134"/>
    <w:rsid w:val="00024D06"/>
    <w:rsid w:val="00025112"/>
    <w:rsid w:val="00025429"/>
    <w:rsid w:val="00025541"/>
    <w:rsid w:val="0002629C"/>
    <w:rsid w:val="00027FE2"/>
    <w:rsid w:val="000311BB"/>
    <w:rsid w:val="0003139E"/>
    <w:rsid w:val="0003173D"/>
    <w:rsid w:val="00031D2B"/>
    <w:rsid w:val="00031FBB"/>
    <w:rsid w:val="00032295"/>
    <w:rsid w:val="00032ACB"/>
    <w:rsid w:val="00034B94"/>
    <w:rsid w:val="00035123"/>
    <w:rsid w:val="00037716"/>
    <w:rsid w:val="00037950"/>
    <w:rsid w:val="00040E1E"/>
    <w:rsid w:val="0004372E"/>
    <w:rsid w:val="00044094"/>
    <w:rsid w:val="00044B30"/>
    <w:rsid w:val="00044CE5"/>
    <w:rsid w:val="00045E6D"/>
    <w:rsid w:val="00045E92"/>
    <w:rsid w:val="00046A37"/>
    <w:rsid w:val="00046BD5"/>
    <w:rsid w:val="00047166"/>
    <w:rsid w:val="0004726B"/>
    <w:rsid w:val="000505E2"/>
    <w:rsid w:val="000514C4"/>
    <w:rsid w:val="00051B67"/>
    <w:rsid w:val="000520FD"/>
    <w:rsid w:val="00052340"/>
    <w:rsid w:val="00053C05"/>
    <w:rsid w:val="000540B2"/>
    <w:rsid w:val="000544D1"/>
    <w:rsid w:val="00054EB8"/>
    <w:rsid w:val="00055515"/>
    <w:rsid w:val="0005612E"/>
    <w:rsid w:val="00060F50"/>
    <w:rsid w:val="000612DC"/>
    <w:rsid w:val="000614DD"/>
    <w:rsid w:val="00062273"/>
    <w:rsid w:val="00062EF1"/>
    <w:rsid w:val="0006310A"/>
    <w:rsid w:val="000635FF"/>
    <w:rsid w:val="00063A3C"/>
    <w:rsid w:val="00063DC5"/>
    <w:rsid w:val="000642CE"/>
    <w:rsid w:val="00064CAE"/>
    <w:rsid w:val="000654B6"/>
    <w:rsid w:val="00066ABC"/>
    <w:rsid w:val="00070992"/>
    <w:rsid w:val="00070D50"/>
    <w:rsid w:val="00074122"/>
    <w:rsid w:val="00074147"/>
    <w:rsid w:val="00074178"/>
    <w:rsid w:val="00074855"/>
    <w:rsid w:val="00075DB4"/>
    <w:rsid w:val="00076C08"/>
    <w:rsid w:val="000777D1"/>
    <w:rsid w:val="00077F14"/>
    <w:rsid w:val="000802C9"/>
    <w:rsid w:val="00080895"/>
    <w:rsid w:val="00080C5C"/>
    <w:rsid w:val="00082B98"/>
    <w:rsid w:val="000842A3"/>
    <w:rsid w:val="000844D2"/>
    <w:rsid w:val="000847D5"/>
    <w:rsid w:val="0008535B"/>
    <w:rsid w:val="00085833"/>
    <w:rsid w:val="000862BE"/>
    <w:rsid w:val="00086512"/>
    <w:rsid w:val="0008691E"/>
    <w:rsid w:val="00086D36"/>
    <w:rsid w:val="00087335"/>
    <w:rsid w:val="00091057"/>
    <w:rsid w:val="000910B0"/>
    <w:rsid w:val="000911C8"/>
    <w:rsid w:val="00091471"/>
    <w:rsid w:val="000914A1"/>
    <w:rsid w:val="00091C3A"/>
    <w:rsid w:val="00091F7B"/>
    <w:rsid w:val="00092C46"/>
    <w:rsid w:val="00093583"/>
    <w:rsid w:val="00093690"/>
    <w:rsid w:val="000938EE"/>
    <w:rsid w:val="000939A2"/>
    <w:rsid w:val="000944A1"/>
    <w:rsid w:val="00094DA8"/>
    <w:rsid w:val="00095AD2"/>
    <w:rsid w:val="000965B7"/>
    <w:rsid w:val="00096C74"/>
    <w:rsid w:val="000A125B"/>
    <w:rsid w:val="000A19E2"/>
    <w:rsid w:val="000A211E"/>
    <w:rsid w:val="000A263B"/>
    <w:rsid w:val="000A3F78"/>
    <w:rsid w:val="000A4C9A"/>
    <w:rsid w:val="000A67B1"/>
    <w:rsid w:val="000A6D5D"/>
    <w:rsid w:val="000A753C"/>
    <w:rsid w:val="000A7B4D"/>
    <w:rsid w:val="000A7B5C"/>
    <w:rsid w:val="000A7F72"/>
    <w:rsid w:val="000B0E75"/>
    <w:rsid w:val="000B1FFF"/>
    <w:rsid w:val="000B2401"/>
    <w:rsid w:val="000B2713"/>
    <w:rsid w:val="000B2F7F"/>
    <w:rsid w:val="000B300D"/>
    <w:rsid w:val="000B31DD"/>
    <w:rsid w:val="000B31E2"/>
    <w:rsid w:val="000B343E"/>
    <w:rsid w:val="000B3AB5"/>
    <w:rsid w:val="000B4201"/>
    <w:rsid w:val="000B53F3"/>
    <w:rsid w:val="000B59E0"/>
    <w:rsid w:val="000B6D78"/>
    <w:rsid w:val="000B6E9B"/>
    <w:rsid w:val="000B7673"/>
    <w:rsid w:val="000B77F5"/>
    <w:rsid w:val="000C0005"/>
    <w:rsid w:val="000C25E6"/>
    <w:rsid w:val="000C2704"/>
    <w:rsid w:val="000C2C3D"/>
    <w:rsid w:val="000C2D43"/>
    <w:rsid w:val="000C3155"/>
    <w:rsid w:val="000C4875"/>
    <w:rsid w:val="000C5438"/>
    <w:rsid w:val="000C67C1"/>
    <w:rsid w:val="000D0D62"/>
    <w:rsid w:val="000D112B"/>
    <w:rsid w:val="000D1154"/>
    <w:rsid w:val="000D1642"/>
    <w:rsid w:val="000D1C61"/>
    <w:rsid w:val="000D1FBC"/>
    <w:rsid w:val="000D2B7A"/>
    <w:rsid w:val="000D3B8D"/>
    <w:rsid w:val="000D4067"/>
    <w:rsid w:val="000D4F69"/>
    <w:rsid w:val="000D5342"/>
    <w:rsid w:val="000D5862"/>
    <w:rsid w:val="000D5C94"/>
    <w:rsid w:val="000D6452"/>
    <w:rsid w:val="000D6903"/>
    <w:rsid w:val="000D7550"/>
    <w:rsid w:val="000D7796"/>
    <w:rsid w:val="000D7ADB"/>
    <w:rsid w:val="000D7BB8"/>
    <w:rsid w:val="000D7F4C"/>
    <w:rsid w:val="000E07AE"/>
    <w:rsid w:val="000E07B1"/>
    <w:rsid w:val="000E0821"/>
    <w:rsid w:val="000E1497"/>
    <w:rsid w:val="000E15DA"/>
    <w:rsid w:val="000E19D3"/>
    <w:rsid w:val="000E2ADB"/>
    <w:rsid w:val="000E2DF7"/>
    <w:rsid w:val="000E2F1D"/>
    <w:rsid w:val="000E2FD4"/>
    <w:rsid w:val="000E313E"/>
    <w:rsid w:val="000E5369"/>
    <w:rsid w:val="000E55AE"/>
    <w:rsid w:val="000E5DF2"/>
    <w:rsid w:val="000E5E7E"/>
    <w:rsid w:val="000E6318"/>
    <w:rsid w:val="000E7370"/>
    <w:rsid w:val="000E7F50"/>
    <w:rsid w:val="000F01AD"/>
    <w:rsid w:val="000F06F0"/>
    <w:rsid w:val="000F2588"/>
    <w:rsid w:val="000F389B"/>
    <w:rsid w:val="000F5515"/>
    <w:rsid w:val="000F5733"/>
    <w:rsid w:val="000F615A"/>
    <w:rsid w:val="000F6C8A"/>
    <w:rsid w:val="000F6DCF"/>
    <w:rsid w:val="000F7E9D"/>
    <w:rsid w:val="00100047"/>
    <w:rsid w:val="001001CB"/>
    <w:rsid w:val="0010035F"/>
    <w:rsid w:val="001005B1"/>
    <w:rsid w:val="00101579"/>
    <w:rsid w:val="00101815"/>
    <w:rsid w:val="00101F15"/>
    <w:rsid w:val="001057F4"/>
    <w:rsid w:val="00106AFC"/>
    <w:rsid w:val="00106B32"/>
    <w:rsid w:val="001071D7"/>
    <w:rsid w:val="00107799"/>
    <w:rsid w:val="00107ECE"/>
    <w:rsid w:val="00107FC9"/>
    <w:rsid w:val="001109D4"/>
    <w:rsid w:val="00110AB5"/>
    <w:rsid w:val="00111C8C"/>
    <w:rsid w:val="001125F4"/>
    <w:rsid w:val="00112722"/>
    <w:rsid w:val="0011291A"/>
    <w:rsid w:val="00112E7A"/>
    <w:rsid w:val="001130F7"/>
    <w:rsid w:val="0011332D"/>
    <w:rsid w:val="00113F0D"/>
    <w:rsid w:val="00114275"/>
    <w:rsid w:val="00114319"/>
    <w:rsid w:val="00114337"/>
    <w:rsid w:val="00115012"/>
    <w:rsid w:val="00116264"/>
    <w:rsid w:val="001164CD"/>
    <w:rsid w:val="00116CB6"/>
    <w:rsid w:val="0012133B"/>
    <w:rsid w:val="00121C51"/>
    <w:rsid w:val="001221C9"/>
    <w:rsid w:val="00122FC4"/>
    <w:rsid w:val="00123114"/>
    <w:rsid w:val="001240C4"/>
    <w:rsid w:val="001248B7"/>
    <w:rsid w:val="00125F82"/>
    <w:rsid w:val="001264C5"/>
    <w:rsid w:val="00127B52"/>
    <w:rsid w:val="00127E07"/>
    <w:rsid w:val="00127E27"/>
    <w:rsid w:val="0013213C"/>
    <w:rsid w:val="001325EE"/>
    <w:rsid w:val="00132739"/>
    <w:rsid w:val="00133608"/>
    <w:rsid w:val="00133704"/>
    <w:rsid w:val="001353CB"/>
    <w:rsid w:val="001373A8"/>
    <w:rsid w:val="001373D8"/>
    <w:rsid w:val="00137933"/>
    <w:rsid w:val="00137E9B"/>
    <w:rsid w:val="00140186"/>
    <w:rsid w:val="001409FE"/>
    <w:rsid w:val="00141298"/>
    <w:rsid w:val="00141C5C"/>
    <w:rsid w:val="00143140"/>
    <w:rsid w:val="00144425"/>
    <w:rsid w:val="00144F2E"/>
    <w:rsid w:val="00146F1E"/>
    <w:rsid w:val="0015149C"/>
    <w:rsid w:val="00152468"/>
    <w:rsid w:val="00152513"/>
    <w:rsid w:val="00152A6F"/>
    <w:rsid w:val="00152AFE"/>
    <w:rsid w:val="0015358F"/>
    <w:rsid w:val="0015432B"/>
    <w:rsid w:val="00154518"/>
    <w:rsid w:val="0015455A"/>
    <w:rsid w:val="001546C6"/>
    <w:rsid w:val="001548F0"/>
    <w:rsid w:val="001549F1"/>
    <w:rsid w:val="001554DA"/>
    <w:rsid w:val="00155C45"/>
    <w:rsid w:val="00157424"/>
    <w:rsid w:val="00161322"/>
    <w:rsid w:val="00162109"/>
    <w:rsid w:val="001623C5"/>
    <w:rsid w:val="001630B8"/>
    <w:rsid w:val="001639DE"/>
    <w:rsid w:val="0016435D"/>
    <w:rsid w:val="00164A56"/>
    <w:rsid w:val="0016597E"/>
    <w:rsid w:val="0016724D"/>
    <w:rsid w:val="00167D67"/>
    <w:rsid w:val="00171275"/>
    <w:rsid w:val="001720F0"/>
    <w:rsid w:val="00172234"/>
    <w:rsid w:val="00172579"/>
    <w:rsid w:val="00173131"/>
    <w:rsid w:val="00174D47"/>
    <w:rsid w:val="00175E34"/>
    <w:rsid w:val="0017667A"/>
    <w:rsid w:val="00176976"/>
    <w:rsid w:val="00177759"/>
    <w:rsid w:val="00177938"/>
    <w:rsid w:val="00177DDF"/>
    <w:rsid w:val="00180B30"/>
    <w:rsid w:val="00180C23"/>
    <w:rsid w:val="00181F78"/>
    <w:rsid w:val="0018297B"/>
    <w:rsid w:val="001834DA"/>
    <w:rsid w:val="00183CAE"/>
    <w:rsid w:val="001845A9"/>
    <w:rsid w:val="00184ACA"/>
    <w:rsid w:val="00185573"/>
    <w:rsid w:val="00185929"/>
    <w:rsid w:val="00187025"/>
    <w:rsid w:val="00190BF3"/>
    <w:rsid w:val="0019149F"/>
    <w:rsid w:val="00192747"/>
    <w:rsid w:val="001927E9"/>
    <w:rsid w:val="00192D65"/>
    <w:rsid w:val="00192DED"/>
    <w:rsid w:val="00193D14"/>
    <w:rsid w:val="00193E89"/>
    <w:rsid w:val="0019431D"/>
    <w:rsid w:val="00195A96"/>
    <w:rsid w:val="00195ABD"/>
    <w:rsid w:val="001966CE"/>
    <w:rsid w:val="00196F4A"/>
    <w:rsid w:val="0019761C"/>
    <w:rsid w:val="00197E0D"/>
    <w:rsid w:val="001A0F48"/>
    <w:rsid w:val="001A14D4"/>
    <w:rsid w:val="001A1A5D"/>
    <w:rsid w:val="001A2025"/>
    <w:rsid w:val="001A2142"/>
    <w:rsid w:val="001A27AC"/>
    <w:rsid w:val="001A2B15"/>
    <w:rsid w:val="001A5526"/>
    <w:rsid w:val="001A5C90"/>
    <w:rsid w:val="001A604C"/>
    <w:rsid w:val="001B0A66"/>
    <w:rsid w:val="001B1018"/>
    <w:rsid w:val="001B143B"/>
    <w:rsid w:val="001B22F5"/>
    <w:rsid w:val="001B27C3"/>
    <w:rsid w:val="001B2D8C"/>
    <w:rsid w:val="001B36BD"/>
    <w:rsid w:val="001B4C7E"/>
    <w:rsid w:val="001B4D43"/>
    <w:rsid w:val="001B5C01"/>
    <w:rsid w:val="001B6356"/>
    <w:rsid w:val="001B6563"/>
    <w:rsid w:val="001B70AF"/>
    <w:rsid w:val="001B7375"/>
    <w:rsid w:val="001B76D6"/>
    <w:rsid w:val="001B7AAE"/>
    <w:rsid w:val="001C0007"/>
    <w:rsid w:val="001C0136"/>
    <w:rsid w:val="001C099E"/>
    <w:rsid w:val="001C1402"/>
    <w:rsid w:val="001C262E"/>
    <w:rsid w:val="001C36CC"/>
    <w:rsid w:val="001C36D0"/>
    <w:rsid w:val="001C45E4"/>
    <w:rsid w:val="001C5ED7"/>
    <w:rsid w:val="001C685E"/>
    <w:rsid w:val="001C7478"/>
    <w:rsid w:val="001C7BE8"/>
    <w:rsid w:val="001D0536"/>
    <w:rsid w:val="001D19EB"/>
    <w:rsid w:val="001D30F3"/>
    <w:rsid w:val="001D378B"/>
    <w:rsid w:val="001D37EB"/>
    <w:rsid w:val="001D384D"/>
    <w:rsid w:val="001D4197"/>
    <w:rsid w:val="001D5EA6"/>
    <w:rsid w:val="001D65E6"/>
    <w:rsid w:val="001D6D6E"/>
    <w:rsid w:val="001D6E0E"/>
    <w:rsid w:val="001D73F8"/>
    <w:rsid w:val="001D78F9"/>
    <w:rsid w:val="001E042B"/>
    <w:rsid w:val="001E1706"/>
    <w:rsid w:val="001E280F"/>
    <w:rsid w:val="001E2A37"/>
    <w:rsid w:val="001E2CDB"/>
    <w:rsid w:val="001E3B49"/>
    <w:rsid w:val="001E549D"/>
    <w:rsid w:val="001E6201"/>
    <w:rsid w:val="001E6276"/>
    <w:rsid w:val="001E7610"/>
    <w:rsid w:val="001E7729"/>
    <w:rsid w:val="001F0F7D"/>
    <w:rsid w:val="001F0FB7"/>
    <w:rsid w:val="001F1064"/>
    <w:rsid w:val="001F1509"/>
    <w:rsid w:val="001F28EA"/>
    <w:rsid w:val="001F2A49"/>
    <w:rsid w:val="001F2F5E"/>
    <w:rsid w:val="001F31D9"/>
    <w:rsid w:val="001F39E9"/>
    <w:rsid w:val="001F3E3D"/>
    <w:rsid w:val="001F6722"/>
    <w:rsid w:val="00200555"/>
    <w:rsid w:val="00200787"/>
    <w:rsid w:val="002015E9"/>
    <w:rsid w:val="0020200C"/>
    <w:rsid w:val="00203B6D"/>
    <w:rsid w:val="00206E92"/>
    <w:rsid w:val="00207365"/>
    <w:rsid w:val="00207CA8"/>
    <w:rsid w:val="002104EC"/>
    <w:rsid w:val="00210BC5"/>
    <w:rsid w:val="00211768"/>
    <w:rsid w:val="002118C5"/>
    <w:rsid w:val="00211A33"/>
    <w:rsid w:val="00211E44"/>
    <w:rsid w:val="00213475"/>
    <w:rsid w:val="00214B35"/>
    <w:rsid w:val="00215341"/>
    <w:rsid w:val="002169BA"/>
    <w:rsid w:val="00217115"/>
    <w:rsid w:val="0021720E"/>
    <w:rsid w:val="0021742A"/>
    <w:rsid w:val="00217734"/>
    <w:rsid w:val="002177BF"/>
    <w:rsid w:val="00217E28"/>
    <w:rsid w:val="0022048E"/>
    <w:rsid w:val="00220954"/>
    <w:rsid w:val="00220963"/>
    <w:rsid w:val="00221138"/>
    <w:rsid w:val="0022118F"/>
    <w:rsid w:val="0022261E"/>
    <w:rsid w:val="0022381D"/>
    <w:rsid w:val="00223991"/>
    <w:rsid w:val="002244BB"/>
    <w:rsid w:val="00224C97"/>
    <w:rsid w:val="002256D1"/>
    <w:rsid w:val="00225B49"/>
    <w:rsid w:val="00225EDB"/>
    <w:rsid w:val="00226D4E"/>
    <w:rsid w:val="002270AA"/>
    <w:rsid w:val="00227558"/>
    <w:rsid w:val="0023012D"/>
    <w:rsid w:val="002307A4"/>
    <w:rsid w:val="00231159"/>
    <w:rsid w:val="00231834"/>
    <w:rsid w:val="00231850"/>
    <w:rsid w:val="00231E1C"/>
    <w:rsid w:val="00232E57"/>
    <w:rsid w:val="002333A8"/>
    <w:rsid w:val="00233920"/>
    <w:rsid w:val="00234297"/>
    <w:rsid w:val="002343F9"/>
    <w:rsid w:val="00234A5F"/>
    <w:rsid w:val="00234BB9"/>
    <w:rsid w:val="002359A3"/>
    <w:rsid w:val="00236FCB"/>
    <w:rsid w:val="0023740B"/>
    <w:rsid w:val="002375AE"/>
    <w:rsid w:val="00237768"/>
    <w:rsid w:val="00237E56"/>
    <w:rsid w:val="00237ED6"/>
    <w:rsid w:val="0024042A"/>
    <w:rsid w:val="00241451"/>
    <w:rsid w:val="00242C60"/>
    <w:rsid w:val="00242DCC"/>
    <w:rsid w:val="002438E1"/>
    <w:rsid w:val="00243EBA"/>
    <w:rsid w:val="002462F8"/>
    <w:rsid w:val="0024641A"/>
    <w:rsid w:val="00246DCC"/>
    <w:rsid w:val="002471E5"/>
    <w:rsid w:val="00250146"/>
    <w:rsid w:val="002518A6"/>
    <w:rsid w:val="00251935"/>
    <w:rsid w:val="00251D0B"/>
    <w:rsid w:val="0025234A"/>
    <w:rsid w:val="00252489"/>
    <w:rsid w:val="002527BD"/>
    <w:rsid w:val="00252B84"/>
    <w:rsid w:val="002532E6"/>
    <w:rsid w:val="002532F9"/>
    <w:rsid w:val="00253DEF"/>
    <w:rsid w:val="0025401A"/>
    <w:rsid w:val="00254155"/>
    <w:rsid w:val="00255067"/>
    <w:rsid w:val="00255B4E"/>
    <w:rsid w:val="00256BE5"/>
    <w:rsid w:val="002572B8"/>
    <w:rsid w:val="002625D1"/>
    <w:rsid w:val="0026338D"/>
    <w:rsid w:val="00264107"/>
    <w:rsid w:val="00264872"/>
    <w:rsid w:val="00264CF4"/>
    <w:rsid w:val="00264EA8"/>
    <w:rsid w:val="002651CC"/>
    <w:rsid w:val="002651D4"/>
    <w:rsid w:val="00265DB7"/>
    <w:rsid w:val="0026638C"/>
    <w:rsid w:val="002663CD"/>
    <w:rsid w:val="00267302"/>
    <w:rsid w:val="00271F4C"/>
    <w:rsid w:val="002722AF"/>
    <w:rsid w:val="00272E24"/>
    <w:rsid w:val="00272F3C"/>
    <w:rsid w:val="0027392D"/>
    <w:rsid w:val="002740DD"/>
    <w:rsid w:val="002742D8"/>
    <w:rsid w:val="00275111"/>
    <w:rsid w:val="002753BF"/>
    <w:rsid w:val="00275C79"/>
    <w:rsid w:val="00275D1B"/>
    <w:rsid w:val="00275E3D"/>
    <w:rsid w:val="00276868"/>
    <w:rsid w:val="00277AC1"/>
    <w:rsid w:val="00277C69"/>
    <w:rsid w:val="00280748"/>
    <w:rsid w:val="002818FE"/>
    <w:rsid w:val="00283180"/>
    <w:rsid w:val="002840FA"/>
    <w:rsid w:val="00284113"/>
    <w:rsid w:val="0028423A"/>
    <w:rsid w:val="0028481E"/>
    <w:rsid w:val="0028515C"/>
    <w:rsid w:val="00285284"/>
    <w:rsid w:val="00285493"/>
    <w:rsid w:val="00285F8D"/>
    <w:rsid w:val="00286C56"/>
    <w:rsid w:val="00286C87"/>
    <w:rsid w:val="0028797D"/>
    <w:rsid w:val="0029003C"/>
    <w:rsid w:val="002914AB"/>
    <w:rsid w:val="00291803"/>
    <w:rsid w:val="002922ED"/>
    <w:rsid w:val="002926B8"/>
    <w:rsid w:val="00292B13"/>
    <w:rsid w:val="00293279"/>
    <w:rsid w:val="00294D3C"/>
    <w:rsid w:val="0029509C"/>
    <w:rsid w:val="002963AD"/>
    <w:rsid w:val="00297033"/>
    <w:rsid w:val="00297674"/>
    <w:rsid w:val="002977D5"/>
    <w:rsid w:val="002A11FB"/>
    <w:rsid w:val="002A13AA"/>
    <w:rsid w:val="002A14F9"/>
    <w:rsid w:val="002A24D9"/>
    <w:rsid w:val="002A2D79"/>
    <w:rsid w:val="002A2DC5"/>
    <w:rsid w:val="002A3813"/>
    <w:rsid w:val="002A3B48"/>
    <w:rsid w:val="002A3F62"/>
    <w:rsid w:val="002A48EF"/>
    <w:rsid w:val="002A4BE0"/>
    <w:rsid w:val="002A50BF"/>
    <w:rsid w:val="002A641D"/>
    <w:rsid w:val="002A6823"/>
    <w:rsid w:val="002B02DA"/>
    <w:rsid w:val="002B0304"/>
    <w:rsid w:val="002B0324"/>
    <w:rsid w:val="002B03A4"/>
    <w:rsid w:val="002B15E5"/>
    <w:rsid w:val="002B1A52"/>
    <w:rsid w:val="002B1C82"/>
    <w:rsid w:val="002B1D10"/>
    <w:rsid w:val="002B26FF"/>
    <w:rsid w:val="002B2CC0"/>
    <w:rsid w:val="002B3AE4"/>
    <w:rsid w:val="002B3D72"/>
    <w:rsid w:val="002B5007"/>
    <w:rsid w:val="002B5369"/>
    <w:rsid w:val="002B55D7"/>
    <w:rsid w:val="002B6020"/>
    <w:rsid w:val="002B6276"/>
    <w:rsid w:val="002B746B"/>
    <w:rsid w:val="002C073E"/>
    <w:rsid w:val="002C0C11"/>
    <w:rsid w:val="002C0F59"/>
    <w:rsid w:val="002C2DF9"/>
    <w:rsid w:val="002C2EAF"/>
    <w:rsid w:val="002C343B"/>
    <w:rsid w:val="002C4147"/>
    <w:rsid w:val="002C4DD9"/>
    <w:rsid w:val="002C65D8"/>
    <w:rsid w:val="002C66EA"/>
    <w:rsid w:val="002C6A5A"/>
    <w:rsid w:val="002C70E0"/>
    <w:rsid w:val="002C7284"/>
    <w:rsid w:val="002C73A3"/>
    <w:rsid w:val="002C7602"/>
    <w:rsid w:val="002D0152"/>
    <w:rsid w:val="002D07DC"/>
    <w:rsid w:val="002D131A"/>
    <w:rsid w:val="002D1638"/>
    <w:rsid w:val="002D1F52"/>
    <w:rsid w:val="002D2627"/>
    <w:rsid w:val="002D2BFA"/>
    <w:rsid w:val="002D2E8C"/>
    <w:rsid w:val="002D32B8"/>
    <w:rsid w:val="002D32E7"/>
    <w:rsid w:val="002D340E"/>
    <w:rsid w:val="002D3C42"/>
    <w:rsid w:val="002D50AA"/>
    <w:rsid w:val="002D58B8"/>
    <w:rsid w:val="002D5DC5"/>
    <w:rsid w:val="002D63FF"/>
    <w:rsid w:val="002D6717"/>
    <w:rsid w:val="002D733C"/>
    <w:rsid w:val="002D7566"/>
    <w:rsid w:val="002E00B0"/>
    <w:rsid w:val="002E0D6E"/>
    <w:rsid w:val="002E166D"/>
    <w:rsid w:val="002E1790"/>
    <w:rsid w:val="002E1972"/>
    <w:rsid w:val="002E1BBF"/>
    <w:rsid w:val="002E2EE4"/>
    <w:rsid w:val="002E37F9"/>
    <w:rsid w:val="002E3DD5"/>
    <w:rsid w:val="002E466B"/>
    <w:rsid w:val="002E5A60"/>
    <w:rsid w:val="002E5B23"/>
    <w:rsid w:val="002E6A30"/>
    <w:rsid w:val="002E6B72"/>
    <w:rsid w:val="002E6FAA"/>
    <w:rsid w:val="002E73EA"/>
    <w:rsid w:val="002E7815"/>
    <w:rsid w:val="002E7894"/>
    <w:rsid w:val="002E7FC3"/>
    <w:rsid w:val="002F02E3"/>
    <w:rsid w:val="002F0744"/>
    <w:rsid w:val="002F0E26"/>
    <w:rsid w:val="002F182B"/>
    <w:rsid w:val="002F29D3"/>
    <w:rsid w:val="002F2AF0"/>
    <w:rsid w:val="002F3019"/>
    <w:rsid w:val="002F317C"/>
    <w:rsid w:val="002F42EB"/>
    <w:rsid w:val="002F4404"/>
    <w:rsid w:val="002F48E9"/>
    <w:rsid w:val="002F4998"/>
    <w:rsid w:val="002F4CF6"/>
    <w:rsid w:val="002F6BF2"/>
    <w:rsid w:val="002F6D32"/>
    <w:rsid w:val="003000BB"/>
    <w:rsid w:val="00300FD7"/>
    <w:rsid w:val="003012C1"/>
    <w:rsid w:val="0030183C"/>
    <w:rsid w:val="003022BF"/>
    <w:rsid w:val="0030243D"/>
    <w:rsid w:val="003029EF"/>
    <w:rsid w:val="003032F0"/>
    <w:rsid w:val="00303C5C"/>
    <w:rsid w:val="003058F6"/>
    <w:rsid w:val="00305B19"/>
    <w:rsid w:val="003075CB"/>
    <w:rsid w:val="003102DC"/>
    <w:rsid w:val="003111C3"/>
    <w:rsid w:val="0031258D"/>
    <w:rsid w:val="00312989"/>
    <w:rsid w:val="00312A09"/>
    <w:rsid w:val="003131A7"/>
    <w:rsid w:val="00313707"/>
    <w:rsid w:val="0031390A"/>
    <w:rsid w:val="003141D8"/>
    <w:rsid w:val="00317085"/>
    <w:rsid w:val="003170AA"/>
    <w:rsid w:val="0031757D"/>
    <w:rsid w:val="00317AF5"/>
    <w:rsid w:val="00317B8B"/>
    <w:rsid w:val="00317E77"/>
    <w:rsid w:val="003208FB"/>
    <w:rsid w:val="00320942"/>
    <w:rsid w:val="003209EA"/>
    <w:rsid w:val="0032133B"/>
    <w:rsid w:val="00321B6D"/>
    <w:rsid w:val="00321CB9"/>
    <w:rsid w:val="00321DF4"/>
    <w:rsid w:val="00322222"/>
    <w:rsid w:val="0032234A"/>
    <w:rsid w:val="00323316"/>
    <w:rsid w:val="003237CD"/>
    <w:rsid w:val="0032398B"/>
    <w:rsid w:val="0032530C"/>
    <w:rsid w:val="00325918"/>
    <w:rsid w:val="00326090"/>
    <w:rsid w:val="00326CDA"/>
    <w:rsid w:val="00327095"/>
    <w:rsid w:val="00327694"/>
    <w:rsid w:val="00327805"/>
    <w:rsid w:val="00330E56"/>
    <w:rsid w:val="00331269"/>
    <w:rsid w:val="00332359"/>
    <w:rsid w:val="00332878"/>
    <w:rsid w:val="003328C8"/>
    <w:rsid w:val="00333C90"/>
    <w:rsid w:val="003341F0"/>
    <w:rsid w:val="003348CB"/>
    <w:rsid w:val="003363C3"/>
    <w:rsid w:val="003363EE"/>
    <w:rsid w:val="003365F1"/>
    <w:rsid w:val="00336DCB"/>
    <w:rsid w:val="00337B43"/>
    <w:rsid w:val="00340CAC"/>
    <w:rsid w:val="00341560"/>
    <w:rsid w:val="00342F6B"/>
    <w:rsid w:val="00343639"/>
    <w:rsid w:val="003437F2"/>
    <w:rsid w:val="00344B6D"/>
    <w:rsid w:val="00345AD7"/>
    <w:rsid w:val="003462A8"/>
    <w:rsid w:val="00346ED6"/>
    <w:rsid w:val="00347449"/>
    <w:rsid w:val="00350540"/>
    <w:rsid w:val="00351284"/>
    <w:rsid w:val="003512AF"/>
    <w:rsid w:val="00351982"/>
    <w:rsid w:val="003519B0"/>
    <w:rsid w:val="00351D67"/>
    <w:rsid w:val="003524D5"/>
    <w:rsid w:val="0035254D"/>
    <w:rsid w:val="00353D19"/>
    <w:rsid w:val="003545C8"/>
    <w:rsid w:val="00354F9D"/>
    <w:rsid w:val="00354FCC"/>
    <w:rsid w:val="003551C9"/>
    <w:rsid w:val="0035635E"/>
    <w:rsid w:val="003569BC"/>
    <w:rsid w:val="0035744E"/>
    <w:rsid w:val="0035797E"/>
    <w:rsid w:val="00360D69"/>
    <w:rsid w:val="00361E7D"/>
    <w:rsid w:val="00362354"/>
    <w:rsid w:val="003628A5"/>
    <w:rsid w:val="00363EB8"/>
    <w:rsid w:val="003655D7"/>
    <w:rsid w:val="003664B5"/>
    <w:rsid w:val="003668FF"/>
    <w:rsid w:val="003672DD"/>
    <w:rsid w:val="00367415"/>
    <w:rsid w:val="00367CE4"/>
    <w:rsid w:val="00367E71"/>
    <w:rsid w:val="0037012C"/>
    <w:rsid w:val="00370600"/>
    <w:rsid w:val="003708AC"/>
    <w:rsid w:val="00371883"/>
    <w:rsid w:val="00371DED"/>
    <w:rsid w:val="0037245A"/>
    <w:rsid w:val="00372FD1"/>
    <w:rsid w:val="0037390F"/>
    <w:rsid w:val="00373BF2"/>
    <w:rsid w:val="0037403A"/>
    <w:rsid w:val="0037429D"/>
    <w:rsid w:val="00374627"/>
    <w:rsid w:val="00374DF3"/>
    <w:rsid w:val="003773EA"/>
    <w:rsid w:val="00377A1B"/>
    <w:rsid w:val="00377F0C"/>
    <w:rsid w:val="00380305"/>
    <w:rsid w:val="00381100"/>
    <w:rsid w:val="0038181B"/>
    <w:rsid w:val="00382C90"/>
    <w:rsid w:val="00382E5D"/>
    <w:rsid w:val="00382EEC"/>
    <w:rsid w:val="00382FED"/>
    <w:rsid w:val="00383B49"/>
    <w:rsid w:val="00383FB7"/>
    <w:rsid w:val="00384974"/>
    <w:rsid w:val="00385703"/>
    <w:rsid w:val="00386170"/>
    <w:rsid w:val="003872ED"/>
    <w:rsid w:val="00387394"/>
    <w:rsid w:val="003874A3"/>
    <w:rsid w:val="00387CF3"/>
    <w:rsid w:val="00390DDE"/>
    <w:rsid w:val="00390FF9"/>
    <w:rsid w:val="003917D8"/>
    <w:rsid w:val="00391E99"/>
    <w:rsid w:val="00391EC7"/>
    <w:rsid w:val="0039236D"/>
    <w:rsid w:val="00392C4C"/>
    <w:rsid w:val="00393895"/>
    <w:rsid w:val="00394B00"/>
    <w:rsid w:val="00395B42"/>
    <w:rsid w:val="00395C48"/>
    <w:rsid w:val="00395E55"/>
    <w:rsid w:val="00396239"/>
    <w:rsid w:val="003964F5"/>
    <w:rsid w:val="00396907"/>
    <w:rsid w:val="00396BAD"/>
    <w:rsid w:val="00397231"/>
    <w:rsid w:val="003976A9"/>
    <w:rsid w:val="003A03CA"/>
    <w:rsid w:val="003A05C9"/>
    <w:rsid w:val="003A079E"/>
    <w:rsid w:val="003A238F"/>
    <w:rsid w:val="003A2B97"/>
    <w:rsid w:val="003A3F0B"/>
    <w:rsid w:val="003A4CA6"/>
    <w:rsid w:val="003A5495"/>
    <w:rsid w:val="003A6B54"/>
    <w:rsid w:val="003A7966"/>
    <w:rsid w:val="003B0869"/>
    <w:rsid w:val="003B0DD5"/>
    <w:rsid w:val="003B1FDD"/>
    <w:rsid w:val="003B2344"/>
    <w:rsid w:val="003B23B1"/>
    <w:rsid w:val="003B25CF"/>
    <w:rsid w:val="003B2981"/>
    <w:rsid w:val="003B3F49"/>
    <w:rsid w:val="003B46A8"/>
    <w:rsid w:val="003B65F2"/>
    <w:rsid w:val="003B7116"/>
    <w:rsid w:val="003B7F47"/>
    <w:rsid w:val="003C0C4D"/>
    <w:rsid w:val="003C3058"/>
    <w:rsid w:val="003C3902"/>
    <w:rsid w:val="003C3978"/>
    <w:rsid w:val="003C3EF8"/>
    <w:rsid w:val="003C4E09"/>
    <w:rsid w:val="003C5CEC"/>
    <w:rsid w:val="003C5E47"/>
    <w:rsid w:val="003C6A73"/>
    <w:rsid w:val="003C6C59"/>
    <w:rsid w:val="003D12DA"/>
    <w:rsid w:val="003D16FF"/>
    <w:rsid w:val="003D2D93"/>
    <w:rsid w:val="003D2DD0"/>
    <w:rsid w:val="003D31C1"/>
    <w:rsid w:val="003D360B"/>
    <w:rsid w:val="003D4309"/>
    <w:rsid w:val="003D4410"/>
    <w:rsid w:val="003D4EB7"/>
    <w:rsid w:val="003D5F9D"/>
    <w:rsid w:val="003D7FD8"/>
    <w:rsid w:val="003E09A7"/>
    <w:rsid w:val="003E17B4"/>
    <w:rsid w:val="003E3495"/>
    <w:rsid w:val="003E3967"/>
    <w:rsid w:val="003E44B3"/>
    <w:rsid w:val="003E4866"/>
    <w:rsid w:val="003E5D68"/>
    <w:rsid w:val="003E6CD1"/>
    <w:rsid w:val="003E723F"/>
    <w:rsid w:val="003F1E7C"/>
    <w:rsid w:val="003F37A8"/>
    <w:rsid w:val="003F3B9F"/>
    <w:rsid w:val="003F416A"/>
    <w:rsid w:val="003F432C"/>
    <w:rsid w:val="003F5ED7"/>
    <w:rsid w:val="003F5EFF"/>
    <w:rsid w:val="003F61C6"/>
    <w:rsid w:val="004016A1"/>
    <w:rsid w:val="004019FA"/>
    <w:rsid w:val="004021A6"/>
    <w:rsid w:val="00402B95"/>
    <w:rsid w:val="00403902"/>
    <w:rsid w:val="00403C38"/>
    <w:rsid w:val="00403ED2"/>
    <w:rsid w:val="00405074"/>
    <w:rsid w:val="00405435"/>
    <w:rsid w:val="00405B42"/>
    <w:rsid w:val="004070A5"/>
    <w:rsid w:val="00407EE2"/>
    <w:rsid w:val="004104CB"/>
    <w:rsid w:val="00410B83"/>
    <w:rsid w:val="004113B7"/>
    <w:rsid w:val="0041152D"/>
    <w:rsid w:val="004118DC"/>
    <w:rsid w:val="00412535"/>
    <w:rsid w:val="004126B3"/>
    <w:rsid w:val="004127B6"/>
    <w:rsid w:val="00412D40"/>
    <w:rsid w:val="004139F9"/>
    <w:rsid w:val="00413B65"/>
    <w:rsid w:val="00413D54"/>
    <w:rsid w:val="00413E22"/>
    <w:rsid w:val="004140FA"/>
    <w:rsid w:val="0041440C"/>
    <w:rsid w:val="00414C6E"/>
    <w:rsid w:val="00415731"/>
    <w:rsid w:val="00416002"/>
    <w:rsid w:val="004169A2"/>
    <w:rsid w:val="00417461"/>
    <w:rsid w:val="004177BE"/>
    <w:rsid w:val="0042006E"/>
    <w:rsid w:val="0042096C"/>
    <w:rsid w:val="00420E14"/>
    <w:rsid w:val="0042253D"/>
    <w:rsid w:val="004225D6"/>
    <w:rsid w:val="00422AD8"/>
    <w:rsid w:val="00422F94"/>
    <w:rsid w:val="00422FD4"/>
    <w:rsid w:val="0042326B"/>
    <w:rsid w:val="00424453"/>
    <w:rsid w:val="0042477E"/>
    <w:rsid w:val="00425168"/>
    <w:rsid w:val="00425EEA"/>
    <w:rsid w:val="00426264"/>
    <w:rsid w:val="00426856"/>
    <w:rsid w:val="004301C6"/>
    <w:rsid w:val="00430447"/>
    <w:rsid w:val="004304E7"/>
    <w:rsid w:val="00430560"/>
    <w:rsid w:val="00430B8D"/>
    <w:rsid w:val="004310C8"/>
    <w:rsid w:val="00433394"/>
    <w:rsid w:val="0043364D"/>
    <w:rsid w:val="004366F5"/>
    <w:rsid w:val="00440562"/>
    <w:rsid w:val="00442501"/>
    <w:rsid w:val="00443462"/>
    <w:rsid w:val="004434DD"/>
    <w:rsid w:val="004435B1"/>
    <w:rsid w:val="00444299"/>
    <w:rsid w:val="00444FE5"/>
    <w:rsid w:val="00445443"/>
    <w:rsid w:val="0044591B"/>
    <w:rsid w:val="0044645D"/>
    <w:rsid w:val="00446EE7"/>
    <w:rsid w:val="0044712F"/>
    <w:rsid w:val="004472D4"/>
    <w:rsid w:val="00450766"/>
    <w:rsid w:val="00451F4E"/>
    <w:rsid w:val="004531B7"/>
    <w:rsid w:val="004532AA"/>
    <w:rsid w:val="004538D1"/>
    <w:rsid w:val="00453B7F"/>
    <w:rsid w:val="00453C3B"/>
    <w:rsid w:val="0045622B"/>
    <w:rsid w:val="004563C5"/>
    <w:rsid w:val="00456EA5"/>
    <w:rsid w:val="00457203"/>
    <w:rsid w:val="0045764A"/>
    <w:rsid w:val="00457BF5"/>
    <w:rsid w:val="004602B8"/>
    <w:rsid w:val="00460AC5"/>
    <w:rsid w:val="004615A7"/>
    <w:rsid w:val="0046167F"/>
    <w:rsid w:val="00462308"/>
    <w:rsid w:val="004626D4"/>
    <w:rsid w:val="00462D53"/>
    <w:rsid w:val="00463F31"/>
    <w:rsid w:val="00464C5C"/>
    <w:rsid w:val="00464FD6"/>
    <w:rsid w:val="0046547A"/>
    <w:rsid w:val="00465714"/>
    <w:rsid w:val="00465903"/>
    <w:rsid w:val="00465BB7"/>
    <w:rsid w:val="0046633B"/>
    <w:rsid w:val="00467384"/>
    <w:rsid w:val="00467D86"/>
    <w:rsid w:val="0047158C"/>
    <w:rsid w:val="004717B9"/>
    <w:rsid w:val="00471824"/>
    <w:rsid w:val="004719ED"/>
    <w:rsid w:val="00471EFE"/>
    <w:rsid w:val="00472281"/>
    <w:rsid w:val="00472EA2"/>
    <w:rsid w:val="004738E2"/>
    <w:rsid w:val="00474738"/>
    <w:rsid w:val="00474A8A"/>
    <w:rsid w:val="0047539F"/>
    <w:rsid w:val="004771C5"/>
    <w:rsid w:val="00477416"/>
    <w:rsid w:val="0047786F"/>
    <w:rsid w:val="00477FCD"/>
    <w:rsid w:val="00480F36"/>
    <w:rsid w:val="00482005"/>
    <w:rsid w:val="00482031"/>
    <w:rsid w:val="0048247E"/>
    <w:rsid w:val="00482BBD"/>
    <w:rsid w:val="00482F8C"/>
    <w:rsid w:val="00483332"/>
    <w:rsid w:val="00483689"/>
    <w:rsid w:val="004837DB"/>
    <w:rsid w:val="00485085"/>
    <w:rsid w:val="0048524B"/>
    <w:rsid w:val="0048715F"/>
    <w:rsid w:val="00487288"/>
    <w:rsid w:val="00487C4C"/>
    <w:rsid w:val="0049053D"/>
    <w:rsid w:val="00490FF0"/>
    <w:rsid w:val="00491AD6"/>
    <w:rsid w:val="004921A4"/>
    <w:rsid w:val="00492490"/>
    <w:rsid w:val="00492678"/>
    <w:rsid w:val="00492979"/>
    <w:rsid w:val="004929AF"/>
    <w:rsid w:val="00493865"/>
    <w:rsid w:val="00494C53"/>
    <w:rsid w:val="00495952"/>
    <w:rsid w:val="00495CC9"/>
    <w:rsid w:val="00496236"/>
    <w:rsid w:val="004A0646"/>
    <w:rsid w:val="004A14A0"/>
    <w:rsid w:val="004A1E69"/>
    <w:rsid w:val="004A2E98"/>
    <w:rsid w:val="004A3C1B"/>
    <w:rsid w:val="004A5288"/>
    <w:rsid w:val="004A55D5"/>
    <w:rsid w:val="004A5B0C"/>
    <w:rsid w:val="004A64EC"/>
    <w:rsid w:val="004A6F3C"/>
    <w:rsid w:val="004A73EC"/>
    <w:rsid w:val="004B1597"/>
    <w:rsid w:val="004B193A"/>
    <w:rsid w:val="004B28AD"/>
    <w:rsid w:val="004B32F5"/>
    <w:rsid w:val="004B3E67"/>
    <w:rsid w:val="004B45D3"/>
    <w:rsid w:val="004B4883"/>
    <w:rsid w:val="004B5B25"/>
    <w:rsid w:val="004B63CB"/>
    <w:rsid w:val="004B71CE"/>
    <w:rsid w:val="004B72BB"/>
    <w:rsid w:val="004B73A0"/>
    <w:rsid w:val="004B7B7C"/>
    <w:rsid w:val="004C05DB"/>
    <w:rsid w:val="004C0868"/>
    <w:rsid w:val="004C0DD7"/>
    <w:rsid w:val="004C11C5"/>
    <w:rsid w:val="004C1A66"/>
    <w:rsid w:val="004C2B67"/>
    <w:rsid w:val="004C2DA2"/>
    <w:rsid w:val="004C301D"/>
    <w:rsid w:val="004C31AF"/>
    <w:rsid w:val="004C397E"/>
    <w:rsid w:val="004C49EF"/>
    <w:rsid w:val="004C4E5C"/>
    <w:rsid w:val="004C51D2"/>
    <w:rsid w:val="004C523B"/>
    <w:rsid w:val="004C53B2"/>
    <w:rsid w:val="004C5E08"/>
    <w:rsid w:val="004C6A0A"/>
    <w:rsid w:val="004C74E4"/>
    <w:rsid w:val="004C767A"/>
    <w:rsid w:val="004D0796"/>
    <w:rsid w:val="004D0C2C"/>
    <w:rsid w:val="004D0E95"/>
    <w:rsid w:val="004D13B6"/>
    <w:rsid w:val="004D24F2"/>
    <w:rsid w:val="004D250C"/>
    <w:rsid w:val="004D3D54"/>
    <w:rsid w:val="004D3EC1"/>
    <w:rsid w:val="004D4435"/>
    <w:rsid w:val="004D4473"/>
    <w:rsid w:val="004D52DA"/>
    <w:rsid w:val="004D5678"/>
    <w:rsid w:val="004D5D9F"/>
    <w:rsid w:val="004D5DB0"/>
    <w:rsid w:val="004D750E"/>
    <w:rsid w:val="004D7A4C"/>
    <w:rsid w:val="004E0450"/>
    <w:rsid w:val="004E0497"/>
    <w:rsid w:val="004E0618"/>
    <w:rsid w:val="004E070F"/>
    <w:rsid w:val="004E0B35"/>
    <w:rsid w:val="004E163B"/>
    <w:rsid w:val="004E32CC"/>
    <w:rsid w:val="004E3807"/>
    <w:rsid w:val="004E4F5A"/>
    <w:rsid w:val="004E636C"/>
    <w:rsid w:val="004E63E7"/>
    <w:rsid w:val="004E70BC"/>
    <w:rsid w:val="004E73F6"/>
    <w:rsid w:val="004E79EA"/>
    <w:rsid w:val="004F2968"/>
    <w:rsid w:val="004F33A4"/>
    <w:rsid w:val="004F3FB7"/>
    <w:rsid w:val="004F4928"/>
    <w:rsid w:val="004F6592"/>
    <w:rsid w:val="004F763C"/>
    <w:rsid w:val="00500F81"/>
    <w:rsid w:val="005011D8"/>
    <w:rsid w:val="00501727"/>
    <w:rsid w:val="00502C7F"/>
    <w:rsid w:val="00504ABD"/>
    <w:rsid w:val="00504EB9"/>
    <w:rsid w:val="0050553B"/>
    <w:rsid w:val="005057AC"/>
    <w:rsid w:val="0050649E"/>
    <w:rsid w:val="00507CF0"/>
    <w:rsid w:val="00511871"/>
    <w:rsid w:val="0051256C"/>
    <w:rsid w:val="00512F53"/>
    <w:rsid w:val="00513756"/>
    <w:rsid w:val="00513BB7"/>
    <w:rsid w:val="00514004"/>
    <w:rsid w:val="005143D4"/>
    <w:rsid w:val="005161C2"/>
    <w:rsid w:val="005165E1"/>
    <w:rsid w:val="0051790C"/>
    <w:rsid w:val="00517A6D"/>
    <w:rsid w:val="0052093D"/>
    <w:rsid w:val="00520FF5"/>
    <w:rsid w:val="005215C4"/>
    <w:rsid w:val="005221C9"/>
    <w:rsid w:val="005224A4"/>
    <w:rsid w:val="00522C67"/>
    <w:rsid w:val="005237A7"/>
    <w:rsid w:val="00524109"/>
    <w:rsid w:val="005243F5"/>
    <w:rsid w:val="00524432"/>
    <w:rsid w:val="005246BA"/>
    <w:rsid w:val="00525B0E"/>
    <w:rsid w:val="00525E2F"/>
    <w:rsid w:val="005276CF"/>
    <w:rsid w:val="00530196"/>
    <w:rsid w:val="00530379"/>
    <w:rsid w:val="0053042C"/>
    <w:rsid w:val="005316C5"/>
    <w:rsid w:val="005324CB"/>
    <w:rsid w:val="00534B4A"/>
    <w:rsid w:val="005358BB"/>
    <w:rsid w:val="00535B0E"/>
    <w:rsid w:val="005360BF"/>
    <w:rsid w:val="00536C32"/>
    <w:rsid w:val="005377E7"/>
    <w:rsid w:val="00537FC4"/>
    <w:rsid w:val="0054229C"/>
    <w:rsid w:val="005430EF"/>
    <w:rsid w:val="00544E9A"/>
    <w:rsid w:val="00545C5A"/>
    <w:rsid w:val="00546253"/>
    <w:rsid w:val="00546D80"/>
    <w:rsid w:val="00546E96"/>
    <w:rsid w:val="0054784F"/>
    <w:rsid w:val="00547BD5"/>
    <w:rsid w:val="0055006C"/>
    <w:rsid w:val="0055060F"/>
    <w:rsid w:val="00550966"/>
    <w:rsid w:val="00551210"/>
    <w:rsid w:val="0055330D"/>
    <w:rsid w:val="005552FA"/>
    <w:rsid w:val="005558F2"/>
    <w:rsid w:val="00556201"/>
    <w:rsid w:val="0055647C"/>
    <w:rsid w:val="00557065"/>
    <w:rsid w:val="00560043"/>
    <w:rsid w:val="00560409"/>
    <w:rsid w:val="00562F59"/>
    <w:rsid w:val="00564C97"/>
    <w:rsid w:val="00565A0B"/>
    <w:rsid w:val="00565A56"/>
    <w:rsid w:val="00566F6F"/>
    <w:rsid w:val="0056785F"/>
    <w:rsid w:val="0057046C"/>
    <w:rsid w:val="0057056C"/>
    <w:rsid w:val="005708D6"/>
    <w:rsid w:val="00570C12"/>
    <w:rsid w:val="005711C0"/>
    <w:rsid w:val="0057143F"/>
    <w:rsid w:val="00571848"/>
    <w:rsid w:val="00571B2A"/>
    <w:rsid w:val="00572A3A"/>
    <w:rsid w:val="0057317B"/>
    <w:rsid w:val="00573C59"/>
    <w:rsid w:val="00573EB0"/>
    <w:rsid w:val="005748E2"/>
    <w:rsid w:val="005749D8"/>
    <w:rsid w:val="0057502C"/>
    <w:rsid w:val="005754E4"/>
    <w:rsid w:val="00576245"/>
    <w:rsid w:val="005762C4"/>
    <w:rsid w:val="0057657C"/>
    <w:rsid w:val="00576B2E"/>
    <w:rsid w:val="00580414"/>
    <w:rsid w:val="00580464"/>
    <w:rsid w:val="005817AC"/>
    <w:rsid w:val="00581CEF"/>
    <w:rsid w:val="00582135"/>
    <w:rsid w:val="00583208"/>
    <w:rsid w:val="0058343E"/>
    <w:rsid w:val="0058367D"/>
    <w:rsid w:val="00583FE8"/>
    <w:rsid w:val="00584DBB"/>
    <w:rsid w:val="00586B1E"/>
    <w:rsid w:val="00586D55"/>
    <w:rsid w:val="00587800"/>
    <w:rsid w:val="00587E29"/>
    <w:rsid w:val="00591EAA"/>
    <w:rsid w:val="005925ED"/>
    <w:rsid w:val="00592859"/>
    <w:rsid w:val="005943C1"/>
    <w:rsid w:val="00594538"/>
    <w:rsid w:val="0059462A"/>
    <w:rsid w:val="00594C6E"/>
    <w:rsid w:val="0059525B"/>
    <w:rsid w:val="005955C1"/>
    <w:rsid w:val="005A1229"/>
    <w:rsid w:val="005A150B"/>
    <w:rsid w:val="005A1879"/>
    <w:rsid w:val="005A1C1E"/>
    <w:rsid w:val="005A1EE4"/>
    <w:rsid w:val="005A20E3"/>
    <w:rsid w:val="005A219F"/>
    <w:rsid w:val="005A31D0"/>
    <w:rsid w:val="005A349C"/>
    <w:rsid w:val="005A3FF3"/>
    <w:rsid w:val="005A40B8"/>
    <w:rsid w:val="005A4EFC"/>
    <w:rsid w:val="005A50C6"/>
    <w:rsid w:val="005A72DE"/>
    <w:rsid w:val="005A72EE"/>
    <w:rsid w:val="005A760C"/>
    <w:rsid w:val="005B02EF"/>
    <w:rsid w:val="005B0584"/>
    <w:rsid w:val="005B0BEB"/>
    <w:rsid w:val="005B2F2D"/>
    <w:rsid w:val="005B5853"/>
    <w:rsid w:val="005B614A"/>
    <w:rsid w:val="005B623C"/>
    <w:rsid w:val="005C0028"/>
    <w:rsid w:val="005C0190"/>
    <w:rsid w:val="005C08AD"/>
    <w:rsid w:val="005C1270"/>
    <w:rsid w:val="005C1803"/>
    <w:rsid w:val="005C1966"/>
    <w:rsid w:val="005C1C86"/>
    <w:rsid w:val="005C2770"/>
    <w:rsid w:val="005C31D3"/>
    <w:rsid w:val="005C3326"/>
    <w:rsid w:val="005C356D"/>
    <w:rsid w:val="005C3DBF"/>
    <w:rsid w:val="005C425B"/>
    <w:rsid w:val="005C4B44"/>
    <w:rsid w:val="005C50A4"/>
    <w:rsid w:val="005C52C8"/>
    <w:rsid w:val="005C5F2C"/>
    <w:rsid w:val="005C670F"/>
    <w:rsid w:val="005C6AF5"/>
    <w:rsid w:val="005C6C4B"/>
    <w:rsid w:val="005D1B3E"/>
    <w:rsid w:val="005D23B3"/>
    <w:rsid w:val="005D2617"/>
    <w:rsid w:val="005D3709"/>
    <w:rsid w:val="005D37B5"/>
    <w:rsid w:val="005D37B8"/>
    <w:rsid w:val="005D419C"/>
    <w:rsid w:val="005D4B8D"/>
    <w:rsid w:val="005D5017"/>
    <w:rsid w:val="005D524B"/>
    <w:rsid w:val="005D5880"/>
    <w:rsid w:val="005D6C0C"/>
    <w:rsid w:val="005D72A0"/>
    <w:rsid w:val="005E124B"/>
    <w:rsid w:val="005E147A"/>
    <w:rsid w:val="005E1615"/>
    <w:rsid w:val="005E1740"/>
    <w:rsid w:val="005E2214"/>
    <w:rsid w:val="005E2BB0"/>
    <w:rsid w:val="005E351A"/>
    <w:rsid w:val="005E3958"/>
    <w:rsid w:val="005E3FEA"/>
    <w:rsid w:val="005E42C6"/>
    <w:rsid w:val="005E473F"/>
    <w:rsid w:val="005E479D"/>
    <w:rsid w:val="005E49E7"/>
    <w:rsid w:val="005E5BF9"/>
    <w:rsid w:val="005E654D"/>
    <w:rsid w:val="005E6A47"/>
    <w:rsid w:val="005F154D"/>
    <w:rsid w:val="005F1EC0"/>
    <w:rsid w:val="005F20A2"/>
    <w:rsid w:val="005F27C3"/>
    <w:rsid w:val="005F2A71"/>
    <w:rsid w:val="005F2E01"/>
    <w:rsid w:val="005F306A"/>
    <w:rsid w:val="005F4267"/>
    <w:rsid w:val="005F48AC"/>
    <w:rsid w:val="005F4ACF"/>
    <w:rsid w:val="005F502E"/>
    <w:rsid w:val="005F6248"/>
    <w:rsid w:val="005F662B"/>
    <w:rsid w:val="005F7697"/>
    <w:rsid w:val="0060007F"/>
    <w:rsid w:val="00601319"/>
    <w:rsid w:val="006013BC"/>
    <w:rsid w:val="00602A62"/>
    <w:rsid w:val="006030B5"/>
    <w:rsid w:val="0060465A"/>
    <w:rsid w:val="00604851"/>
    <w:rsid w:val="0060527C"/>
    <w:rsid w:val="00605409"/>
    <w:rsid w:val="00607836"/>
    <w:rsid w:val="00607E66"/>
    <w:rsid w:val="00610233"/>
    <w:rsid w:val="006106EC"/>
    <w:rsid w:val="006110FE"/>
    <w:rsid w:val="0061168F"/>
    <w:rsid w:val="006119F1"/>
    <w:rsid w:val="00613358"/>
    <w:rsid w:val="006133D6"/>
    <w:rsid w:val="00613F0F"/>
    <w:rsid w:val="006140FB"/>
    <w:rsid w:val="0061431E"/>
    <w:rsid w:val="006143BC"/>
    <w:rsid w:val="00615A1D"/>
    <w:rsid w:val="00615E4E"/>
    <w:rsid w:val="006163D5"/>
    <w:rsid w:val="00616B8A"/>
    <w:rsid w:val="00616C4B"/>
    <w:rsid w:val="00616CC2"/>
    <w:rsid w:val="00616E3C"/>
    <w:rsid w:val="0062041D"/>
    <w:rsid w:val="006209E0"/>
    <w:rsid w:val="0062124F"/>
    <w:rsid w:val="006220EE"/>
    <w:rsid w:val="00622D61"/>
    <w:rsid w:val="00622FE2"/>
    <w:rsid w:val="00623800"/>
    <w:rsid w:val="00623D24"/>
    <w:rsid w:val="00623DF1"/>
    <w:rsid w:val="00624AF0"/>
    <w:rsid w:val="00625A93"/>
    <w:rsid w:val="00625CCA"/>
    <w:rsid w:val="006273F6"/>
    <w:rsid w:val="00627BC9"/>
    <w:rsid w:val="0063023D"/>
    <w:rsid w:val="00630D0E"/>
    <w:rsid w:val="00631BAE"/>
    <w:rsid w:val="00631D96"/>
    <w:rsid w:val="00632C40"/>
    <w:rsid w:val="006340D8"/>
    <w:rsid w:val="00634D3E"/>
    <w:rsid w:val="006358C5"/>
    <w:rsid w:val="00635D4E"/>
    <w:rsid w:val="0063621A"/>
    <w:rsid w:val="00636485"/>
    <w:rsid w:val="0063759E"/>
    <w:rsid w:val="00637EB4"/>
    <w:rsid w:val="00640574"/>
    <w:rsid w:val="00640FA6"/>
    <w:rsid w:val="00643091"/>
    <w:rsid w:val="0064366B"/>
    <w:rsid w:val="00643783"/>
    <w:rsid w:val="00643894"/>
    <w:rsid w:val="00643BA3"/>
    <w:rsid w:val="00643C7B"/>
    <w:rsid w:val="00643D47"/>
    <w:rsid w:val="0064473E"/>
    <w:rsid w:val="006457CC"/>
    <w:rsid w:val="00645926"/>
    <w:rsid w:val="00645FC6"/>
    <w:rsid w:val="00646153"/>
    <w:rsid w:val="00646431"/>
    <w:rsid w:val="006478F7"/>
    <w:rsid w:val="0065014B"/>
    <w:rsid w:val="00650489"/>
    <w:rsid w:val="00651D45"/>
    <w:rsid w:val="006522CB"/>
    <w:rsid w:val="00652F8E"/>
    <w:rsid w:val="006537AA"/>
    <w:rsid w:val="006544A7"/>
    <w:rsid w:val="0065455E"/>
    <w:rsid w:val="006551D7"/>
    <w:rsid w:val="00655629"/>
    <w:rsid w:val="006568B0"/>
    <w:rsid w:val="006605B7"/>
    <w:rsid w:val="00660D78"/>
    <w:rsid w:val="00660E2F"/>
    <w:rsid w:val="00661E8D"/>
    <w:rsid w:val="006631C0"/>
    <w:rsid w:val="00663310"/>
    <w:rsid w:val="00663BE8"/>
    <w:rsid w:val="00664A9C"/>
    <w:rsid w:val="006651B9"/>
    <w:rsid w:val="0066579A"/>
    <w:rsid w:val="0066581D"/>
    <w:rsid w:val="006659D9"/>
    <w:rsid w:val="00666C19"/>
    <w:rsid w:val="00667E42"/>
    <w:rsid w:val="00667FC4"/>
    <w:rsid w:val="00670F27"/>
    <w:rsid w:val="00670F4B"/>
    <w:rsid w:val="00671F52"/>
    <w:rsid w:val="00672732"/>
    <w:rsid w:val="00673FB8"/>
    <w:rsid w:val="006743DC"/>
    <w:rsid w:val="00674CDF"/>
    <w:rsid w:val="00675A2B"/>
    <w:rsid w:val="00675E34"/>
    <w:rsid w:val="00676057"/>
    <w:rsid w:val="0067609E"/>
    <w:rsid w:val="006767C2"/>
    <w:rsid w:val="006771E1"/>
    <w:rsid w:val="00677DFB"/>
    <w:rsid w:val="00677F1E"/>
    <w:rsid w:val="00680A0B"/>
    <w:rsid w:val="00680A28"/>
    <w:rsid w:val="00680DD7"/>
    <w:rsid w:val="00681270"/>
    <w:rsid w:val="00682296"/>
    <w:rsid w:val="00682D29"/>
    <w:rsid w:val="00683395"/>
    <w:rsid w:val="00684C1A"/>
    <w:rsid w:val="00684ED4"/>
    <w:rsid w:val="0068672B"/>
    <w:rsid w:val="00687BC4"/>
    <w:rsid w:val="00687E65"/>
    <w:rsid w:val="0069057A"/>
    <w:rsid w:val="00690FB3"/>
    <w:rsid w:val="006917CC"/>
    <w:rsid w:val="006926EE"/>
    <w:rsid w:val="00692D57"/>
    <w:rsid w:val="0069325E"/>
    <w:rsid w:val="006933F0"/>
    <w:rsid w:val="00693554"/>
    <w:rsid w:val="00695014"/>
    <w:rsid w:val="00695F52"/>
    <w:rsid w:val="0069646F"/>
    <w:rsid w:val="006967ED"/>
    <w:rsid w:val="006972C3"/>
    <w:rsid w:val="006974DE"/>
    <w:rsid w:val="0069755A"/>
    <w:rsid w:val="006A043F"/>
    <w:rsid w:val="006A0BB7"/>
    <w:rsid w:val="006A0C32"/>
    <w:rsid w:val="006A340E"/>
    <w:rsid w:val="006A3C00"/>
    <w:rsid w:val="006A3FFE"/>
    <w:rsid w:val="006A4621"/>
    <w:rsid w:val="006A5D84"/>
    <w:rsid w:val="006A653F"/>
    <w:rsid w:val="006B00B8"/>
    <w:rsid w:val="006B07AE"/>
    <w:rsid w:val="006B18EF"/>
    <w:rsid w:val="006B2611"/>
    <w:rsid w:val="006B3A60"/>
    <w:rsid w:val="006B3C6C"/>
    <w:rsid w:val="006B3D69"/>
    <w:rsid w:val="006B448A"/>
    <w:rsid w:val="006B60B5"/>
    <w:rsid w:val="006B6598"/>
    <w:rsid w:val="006B7355"/>
    <w:rsid w:val="006C122C"/>
    <w:rsid w:val="006C143F"/>
    <w:rsid w:val="006C24CF"/>
    <w:rsid w:val="006C2545"/>
    <w:rsid w:val="006C2E8E"/>
    <w:rsid w:val="006C2ED6"/>
    <w:rsid w:val="006C34C6"/>
    <w:rsid w:val="006C44A2"/>
    <w:rsid w:val="006C5558"/>
    <w:rsid w:val="006C6376"/>
    <w:rsid w:val="006D353F"/>
    <w:rsid w:val="006D371B"/>
    <w:rsid w:val="006D37D8"/>
    <w:rsid w:val="006D4414"/>
    <w:rsid w:val="006D4E20"/>
    <w:rsid w:val="006D5A33"/>
    <w:rsid w:val="006D6055"/>
    <w:rsid w:val="006D60AA"/>
    <w:rsid w:val="006D6279"/>
    <w:rsid w:val="006D69D6"/>
    <w:rsid w:val="006D6FD1"/>
    <w:rsid w:val="006D7C48"/>
    <w:rsid w:val="006E06A7"/>
    <w:rsid w:val="006E0B8B"/>
    <w:rsid w:val="006E0D29"/>
    <w:rsid w:val="006E23EF"/>
    <w:rsid w:val="006E3568"/>
    <w:rsid w:val="006E405E"/>
    <w:rsid w:val="006E477E"/>
    <w:rsid w:val="006E5697"/>
    <w:rsid w:val="006E73D1"/>
    <w:rsid w:val="006F048E"/>
    <w:rsid w:val="006F1196"/>
    <w:rsid w:val="006F275E"/>
    <w:rsid w:val="006F35E3"/>
    <w:rsid w:val="006F3DE8"/>
    <w:rsid w:val="006F401D"/>
    <w:rsid w:val="006F5035"/>
    <w:rsid w:val="006F56DA"/>
    <w:rsid w:val="006F5717"/>
    <w:rsid w:val="006F5A80"/>
    <w:rsid w:val="006F6C18"/>
    <w:rsid w:val="00700C3E"/>
    <w:rsid w:val="00700E84"/>
    <w:rsid w:val="00701709"/>
    <w:rsid w:val="0070243F"/>
    <w:rsid w:val="00702700"/>
    <w:rsid w:val="0070277B"/>
    <w:rsid w:val="00702EEA"/>
    <w:rsid w:val="0070300D"/>
    <w:rsid w:val="007036E6"/>
    <w:rsid w:val="00703796"/>
    <w:rsid w:val="007039DF"/>
    <w:rsid w:val="00703B1D"/>
    <w:rsid w:val="007043C7"/>
    <w:rsid w:val="00704B72"/>
    <w:rsid w:val="00704C73"/>
    <w:rsid w:val="007052B7"/>
    <w:rsid w:val="007064E2"/>
    <w:rsid w:val="00707021"/>
    <w:rsid w:val="007070B9"/>
    <w:rsid w:val="00710613"/>
    <w:rsid w:val="0071066E"/>
    <w:rsid w:val="0071067B"/>
    <w:rsid w:val="007107AC"/>
    <w:rsid w:val="00710B76"/>
    <w:rsid w:val="00711141"/>
    <w:rsid w:val="00711837"/>
    <w:rsid w:val="00711A18"/>
    <w:rsid w:val="00711FBA"/>
    <w:rsid w:val="00712502"/>
    <w:rsid w:val="007132AF"/>
    <w:rsid w:val="0071333D"/>
    <w:rsid w:val="0071392D"/>
    <w:rsid w:val="00713CAD"/>
    <w:rsid w:val="00717080"/>
    <w:rsid w:val="00717AEB"/>
    <w:rsid w:val="00720466"/>
    <w:rsid w:val="00720808"/>
    <w:rsid w:val="00720BBB"/>
    <w:rsid w:val="00720DF2"/>
    <w:rsid w:val="007220D9"/>
    <w:rsid w:val="007228EE"/>
    <w:rsid w:val="00723570"/>
    <w:rsid w:val="007242D9"/>
    <w:rsid w:val="00724423"/>
    <w:rsid w:val="00727F5C"/>
    <w:rsid w:val="00731B9B"/>
    <w:rsid w:val="00731CF1"/>
    <w:rsid w:val="00731D7E"/>
    <w:rsid w:val="00732082"/>
    <w:rsid w:val="00732483"/>
    <w:rsid w:val="007334A3"/>
    <w:rsid w:val="00733D3A"/>
    <w:rsid w:val="00734F4A"/>
    <w:rsid w:val="00735600"/>
    <w:rsid w:val="00735EB5"/>
    <w:rsid w:val="0073667B"/>
    <w:rsid w:val="00740A38"/>
    <w:rsid w:val="00740B5E"/>
    <w:rsid w:val="00740BEF"/>
    <w:rsid w:val="00741063"/>
    <w:rsid w:val="007412D4"/>
    <w:rsid w:val="00741721"/>
    <w:rsid w:val="00742D34"/>
    <w:rsid w:val="00743461"/>
    <w:rsid w:val="00743B7F"/>
    <w:rsid w:val="00744CB6"/>
    <w:rsid w:val="00744F99"/>
    <w:rsid w:val="00744FBD"/>
    <w:rsid w:val="0074606E"/>
    <w:rsid w:val="0074610B"/>
    <w:rsid w:val="00746F1F"/>
    <w:rsid w:val="007474DA"/>
    <w:rsid w:val="00747C03"/>
    <w:rsid w:val="0075024B"/>
    <w:rsid w:val="007505FD"/>
    <w:rsid w:val="00751552"/>
    <w:rsid w:val="00752119"/>
    <w:rsid w:val="00752226"/>
    <w:rsid w:val="00752893"/>
    <w:rsid w:val="00752F81"/>
    <w:rsid w:val="007534EF"/>
    <w:rsid w:val="00754E19"/>
    <w:rsid w:val="00756143"/>
    <w:rsid w:val="00756539"/>
    <w:rsid w:val="00756909"/>
    <w:rsid w:val="00756A3F"/>
    <w:rsid w:val="00756FE9"/>
    <w:rsid w:val="007578A9"/>
    <w:rsid w:val="007600D2"/>
    <w:rsid w:val="00761CA3"/>
    <w:rsid w:val="00761D0F"/>
    <w:rsid w:val="00764988"/>
    <w:rsid w:val="00765035"/>
    <w:rsid w:val="00765F99"/>
    <w:rsid w:val="00766E3D"/>
    <w:rsid w:val="00766EB7"/>
    <w:rsid w:val="007712CD"/>
    <w:rsid w:val="007714D8"/>
    <w:rsid w:val="0077284F"/>
    <w:rsid w:val="00772A48"/>
    <w:rsid w:val="00772D1D"/>
    <w:rsid w:val="0077353A"/>
    <w:rsid w:val="00774005"/>
    <w:rsid w:val="00774402"/>
    <w:rsid w:val="00774FAB"/>
    <w:rsid w:val="00775404"/>
    <w:rsid w:val="00775E7A"/>
    <w:rsid w:val="00775F91"/>
    <w:rsid w:val="007762E2"/>
    <w:rsid w:val="00776490"/>
    <w:rsid w:val="0077738F"/>
    <w:rsid w:val="00780BD9"/>
    <w:rsid w:val="00780CF6"/>
    <w:rsid w:val="00780E5C"/>
    <w:rsid w:val="00781282"/>
    <w:rsid w:val="00781E89"/>
    <w:rsid w:val="00781EF6"/>
    <w:rsid w:val="00782D0A"/>
    <w:rsid w:val="0078374C"/>
    <w:rsid w:val="00784D4D"/>
    <w:rsid w:val="007858E6"/>
    <w:rsid w:val="00785D32"/>
    <w:rsid w:val="00787795"/>
    <w:rsid w:val="00790946"/>
    <w:rsid w:val="00790B27"/>
    <w:rsid w:val="00790C53"/>
    <w:rsid w:val="00791AFE"/>
    <w:rsid w:val="00791DA3"/>
    <w:rsid w:val="00793B84"/>
    <w:rsid w:val="00793C88"/>
    <w:rsid w:val="00794AD2"/>
    <w:rsid w:val="00795DA9"/>
    <w:rsid w:val="00795F92"/>
    <w:rsid w:val="00796BD2"/>
    <w:rsid w:val="007A0C9B"/>
    <w:rsid w:val="007A13C9"/>
    <w:rsid w:val="007A26A8"/>
    <w:rsid w:val="007A2AA3"/>
    <w:rsid w:val="007A2B49"/>
    <w:rsid w:val="007A2C2F"/>
    <w:rsid w:val="007A2CB9"/>
    <w:rsid w:val="007A2F28"/>
    <w:rsid w:val="007A335A"/>
    <w:rsid w:val="007A3C3A"/>
    <w:rsid w:val="007A4F16"/>
    <w:rsid w:val="007A5B76"/>
    <w:rsid w:val="007A61C5"/>
    <w:rsid w:val="007A6305"/>
    <w:rsid w:val="007A719F"/>
    <w:rsid w:val="007A73BD"/>
    <w:rsid w:val="007A7516"/>
    <w:rsid w:val="007A783A"/>
    <w:rsid w:val="007A7924"/>
    <w:rsid w:val="007A7ECD"/>
    <w:rsid w:val="007B031C"/>
    <w:rsid w:val="007B0944"/>
    <w:rsid w:val="007B132E"/>
    <w:rsid w:val="007B2318"/>
    <w:rsid w:val="007B2DE9"/>
    <w:rsid w:val="007B2E2B"/>
    <w:rsid w:val="007B312D"/>
    <w:rsid w:val="007B32CC"/>
    <w:rsid w:val="007B33F2"/>
    <w:rsid w:val="007B3827"/>
    <w:rsid w:val="007B4422"/>
    <w:rsid w:val="007B6FA4"/>
    <w:rsid w:val="007B7214"/>
    <w:rsid w:val="007C0E88"/>
    <w:rsid w:val="007C1087"/>
    <w:rsid w:val="007C17CA"/>
    <w:rsid w:val="007C1AA0"/>
    <w:rsid w:val="007C2B14"/>
    <w:rsid w:val="007C3E26"/>
    <w:rsid w:val="007C475C"/>
    <w:rsid w:val="007C6FD2"/>
    <w:rsid w:val="007C7812"/>
    <w:rsid w:val="007D05CD"/>
    <w:rsid w:val="007D16D9"/>
    <w:rsid w:val="007D3742"/>
    <w:rsid w:val="007D382F"/>
    <w:rsid w:val="007D40E2"/>
    <w:rsid w:val="007D47E4"/>
    <w:rsid w:val="007D5AD4"/>
    <w:rsid w:val="007D6386"/>
    <w:rsid w:val="007D73C0"/>
    <w:rsid w:val="007D7E21"/>
    <w:rsid w:val="007E1322"/>
    <w:rsid w:val="007E1ADD"/>
    <w:rsid w:val="007E1E8C"/>
    <w:rsid w:val="007E1F23"/>
    <w:rsid w:val="007E27D9"/>
    <w:rsid w:val="007E342F"/>
    <w:rsid w:val="007E35BB"/>
    <w:rsid w:val="007E3D70"/>
    <w:rsid w:val="007E4379"/>
    <w:rsid w:val="007E47CE"/>
    <w:rsid w:val="007E5AEE"/>
    <w:rsid w:val="007E64CE"/>
    <w:rsid w:val="007E69C8"/>
    <w:rsid w:val="007E6C03"/>
    <w:rsid w:val="007E775B"/>
    <w:rsid w:val="007F038A"/>
    <w:rsid w:val="007F03A2"/>
    <w:rsid w:val="007F1215"/>
    <w:rsid w:val="007F20F8"/>
    <w:rsid w:val="007F3313"/>
    <w:rsid w:val="007F3741"/>
    <w:rsid w:val="007F487D"/>
    <w:rsid w:val="007F4DA7"/>
    <w:rsid w:val="007F5BFC"/>
    <w:rsid w:val="007F5D31"/>
    <w:rsid w:val="007F7703"/>
    <w:rsid w:val="007F7B8A"/>
    <w:rsid w:val="007F7CE8"/>
    <w:rsid w:val="008006FC"/>
    <w:rsid w:val="00800D81"/>
    <w:rsid w:val="00802380"/>
    <w:rsid w:val="0080347A"/>
    <w:rsid w:val="008038D8"/>
    <w:rsid w:val="00803903"/>
    <w:rsid w:val="00803995"/>
    <w:rsid w:val="00803EF1"/>
    <w:rsid w:val="00804626"/>
    <w:rsid w:val="00806A2B"/>
    <w:rsid w:val="008073C8"/>
    <w:rsid w:val="0080799C"/>
    <w:rsid w:val="00807EC5"/>
    <w:rsid w:val="00810B4B"/>
    <w:rsid w:val="00811393"/>
    <w:rsid w:val="008113F6"/>
    <w:rsid w:val="00812DC8"/>
    <w:rsid w:val="00812EF5"/>
    <w:rsid w:val="00814E91"/>
    <w:rsid w:val="008151BE"/>
    <w:rsid w:val="008156C2"/>
    <w:rsid w:val="00815EE2"/>
    <w:rsid w:val="008177A3"/>
    <w:rsid w:val="00817844"/>
    <w:rsid w:val="00820E77"/>
    <w:rsid w:val="00821D32"/>
    <w:rsid w:val="00821DF5"/>
    <w:rsid w:val="00821E55"/>
    <w:rsid w:val="0082206D"/>
    <w:rsid w:val="008220DF"/>
    <w:rsid w:val="0082227C"/>
    <w:rsid w:val="00822417"/>
    <w:rsid w:val="0082277A"/>
    <w:rsid w:val="008228A8"/>
    <w:rsid w:val="00822D39"/>
    <w:rsid w:val="00823425"/>
    <w:rsid w:val="00823ADA"/>
    <w:rsid w:val="00823B40"/>
    <w:rsid w:val="00824216"/>
    <w:rsid w:val="00824DBE"/>
    <w:rsid w:val="008253B4"/>
    <w:rsid w:val="008258EF"/>
    <w:rsid w:val="00825D9E"/>
    <w:rsid w:val="008260DA"/>
    <w:rsid w:val="0082695C"/>
    <w:rsid w:val="00827F55"/>
    <w:rsid w:val="00831C87"/>
    <w:rsid w:val="0083227F"/>
    <w:rsid w:val="008329CC"/>
    <w:rsid w:val="00833543"/>
    <w:rsid w:val="008336C0"/>
    <w:rsid w:val="00833E57"/>
    <w:rsid w:val="008345E1"/>
    <w:rsid w:val="00834930"/>
    <w:rsid w:val="00834BDD"/>
    <w:rsid w:val="008352CF"/>
    <w:rsid w:val="00835D67"/>
    <w:rsid w:val="00835FC8"/>
    <w:rsid w:val="0083684D"/>
    <w:rsid w:val="008371CF"/>
    <w:rsid w:val="00841213"/>
    <w:rsid w:val="008430EF"/>
    <w:rsid w:val="0084391C"/>
    <w:rsid w:val="008447B2"/>
    <w:rsid w:val="00844F8D"/>
    <w:rsid w:val="00845108"/>
    <w:rsid w:val="00846C13"/>
    <w:rsid w:val="0085116A"/>
    <w:rsid w:val="00851661"/>
    <w:rsid w:val="0085285D"/>
    <w:rsid w:val="008543AF"/>
    <w:rsid w:val="00854828"/>
    <w:rsid w:val="0085597F"/>
    <w:rsid w:val="00855A86"/>
    <w:rsid w:val="00856231"/>
    <w:rsid w:val="00856444"/>
    <w:rsid w:val="008577CF"/>
    <w:rsid w:val="008602C5"/>
    <w:rsid w:val="00860E8C"/>
    <w:rsid w:val="0086128F"/>
    <w:rsid w:val="00861357"/>
    <w:rsid w:val="008613C5"/>
    <w:rsid w:val="0086201B"/>
    <w:rsid w:val="00862274"/>
    <w:rsid w:val="00862AF9"/>
    <w:rsid w:val="00863457"/>
    <w:rsid w:val="00864B82"/>
    <w:rsid w:val="008660E2"/>
    <w:rsid w:val="008662C5"/>
    <w:rsid w:val="00866598"/>
    <w:rsid w:val="0086671E"/>
    <w:rsid w:val="00866722"/>
    <w:rsid w:val="00866EA4"/>
    <w:rsid w:val="0086719C"/>
    <w:rsid w:val="00867A2F"/>
    <w:rsid w:val="00870040"/>
    <w:rsid w:val="00871B13"/>
    <w:rsid w:val="008731F6"/>
    <w:rsid w:val="0087416E"/>
    <w:rsid w:val="00875E73"/>
    <w:rsid w:val="00875EBA"/>
    <w:rsid w:val="008772FA"/>
    <w:rsid w:val="00877455"/>
    <w:rsid w:val="00877B1D"/>
    <w:rsid w:val="00880297"/>
    <w:rsid w:val="00880A25"/>
    <w:rsid w:val="00881846"/>
    <w:rsid w:val="008826CC"/>
    <w:rsid w:val="00882D43"/>
    <w:rsid w:val="00884C1C"/>
    <w:rsid w:val="00884F9D"/>
    <w:rsid w:val="008853EB"/>
    <w:rsid w:val="00885898"/>
    <w:rsid w:val="008863D7"/>
    <w:rsid w:val="0088670A"/>
    <w:rsid w:val="00890B49"/>
    <w:rsid w:val="00890BF3"/>
    <w:rsid w:val="00890FA7"/>
    <w:rsid w:val="00891D8A"/>
    <w:rsid w:val="00892132"/>
    <w:rsid w:val="00892AB5"/>
    <w:rsid w:val="008935D0"/>
    <w:rsid w:val="008937F4"/>
    <w:rsid w:val="00893C19"/>
    <w:rsid w:val="008948F6"/>
    <w:rsid w:val="008A012C"/>
    <w:rsid w:val="008A1810"/>
    <w:rsid w:val="008A29C3"/>
    <w:rsid w:val="008A373F"/>
    <w:rsid w:val="008A3909"/>
    <w:rsid w:val="008A4122"/>
    <w:rsid w:val="008A4627"/>
    <w:rsid w:val="008A4863"/>
    <w:rsid w:val="008A4A4A"/>
    <w:rsid w:val="008A4D5C"/>
    <w:rsid w:val="008A6083"/>
    <w:rsid w:val="008A6BAE"/>
    <w:rsid w:val="008A705E"/>
    <w:rsid w:val="008A7561"/>
    <w:rsid w:val="008B025A"/>
    <w:rsid w:val="008B08E9"/>
    <w:rsid w:val="008B090A"/>
    <w:rsid w:val="008B149D"/>
    <w:rsid w:val="008B16A4"/>
    <w:rsid w:val="008B201A"/>
    <w:rsid w:val="008B29D4"/>
    <w:rsid w:val="008B2B89"/>
    <w:rsid w:val="008B3B0C"/>
    <w:rsid w:val="008B3CE2"/>
    <w:rsid w:val="008B406D"/>
    <w:rsid w:val="008B57D4"/>
    <w:rsid w:val="008B59B1"/>
    <w:rsid w:val="008B5BC9"/>
    <w:rsid w:val="008B6EDB"/>
    <w:rsid w:val="008B75AA"/>
    <w:rsid w:val="008C0500"/>
    <w:rsid w:val="008C0D4F"/>
    <w:rsid w:val="008C162F"/>
    <w:rsid w:val="008C2245"/>
    <w:rsid w:val="008C2D8F"/>
    <w:rsid w:val="008C33EA"/>
    <w:rsid w:val="008C3B88"/>
    <w:rsid w:val="008C4578"/>
    <w:rsid w:val="008C463E"/>
    <w:rsid w:val="008C47EA"/>
    <w:rsid w:val="008C4E77"/>
    <w:rsid w:val="008C4F4C"/>
    <w:rsid w:val="008C4FD5"/>
    <w:rsid w:val="008C51A3"/>
    <w:rsid w:val="008C524B"/>
    <w:rsid w:val="008C54DD"/>
    <w:rsid w:val="008C6120"/>
    <w:rsid w:val="008C6166"/>
    <w:rsid w:val="008C6529"/>
    <w:rsid w:val="008C697A"/>
    <w:rsid w:val="008C699B"/>
    <w:rsid w:val="008C6F07"/>
    <w:rsid w:val="008C786F"/>
    <w:rsid w:val="008D06B1"/>
    <w:rsid w:val="008D0FC5"/>
    <w:rsid w:val="008D1464"/>
    <w:rsid w:val="008D1EAC"/>
    <w:rsid w:val="008D3959"/>
    <w:rsid w:val="008D3BBF"/>
    <w:rsid w:val="008D3EBF"/>
    <w:rsid w:val="008D4501"/>
    <w:rsid w:val="008D4697"/>
    <w:rsid w:val="008D4B4B"/>
    <w:rsid w:val="008D5516"/>
    <w:rsid w:val="008D5845"/>
    <w:rsid w:val="008D6059"/>
    <w:rsid w:val="008D6716"/>
    <w:rsid w:val="008D7D14"/>
    <w:rsid w:val="008D7F3F"/>
    <w:rsid w:val="008E0678"/>
    <w:rsid w:val="008E0CD3"/>
    <w:rsid w:val="008E0D54"/>
    <w:rsid w:val="008E16EA"/>
    <w:rsid w:val="008E1D4D"/>
    <w:rsid w:val="008E1E39"/>
    <w:rsid w:val="008E28A6"/>
    <w:rsid w:val="008E3827"/>
    <w:rsid w:val="008E3EC6"/>
    <w:rsid w:val="008E4C32"/>
    <w:rsid w:val="008E4F95"/>
    <w:rsid w:val="008E66EC"/>
    <w:rsid w:val="008E6B12"/>
    <w:rsid w:val="008E7101"/>
    <w:rsid w:val="008E7A06"/>
    <w:rsid w:val="008F0A74"/>
    <w:rsid w:val="008F22C5"/>
    <w:rsid w:val="008F2502"/>
    <w:rsid w:val="008F303D"/>
    <w:rsid w:val="008F325D"/>
    <w:rsid w:val="008F34A9"/>
    <w:rsid w:val="008F39BA"/>
    <w:rsid w:val="008F431D"/>
    <w:rsid w:val="008F4679"/>
    <w:rsid w:val="008F4711"/>
    <w:rsid w:val="008F5654"/>
    <w:rsid w:val="008F6097"/>
    <w:rsid w:val="008F6E8B"/>
    <w:rsid w:val="00900DD3"/>
    <w:rsid w:val="009015C6"/>
    <w:rsid w:val="00902D40"/>
    <w:rsid w:val="00903BF4"/>
    <w:rsid w:val="009042C8"/>
    <w:rsid w:val="009045F1"/>
    <w:rsid w:val="009045FD"/>
    <w:rsid w:val="00904FBE"/>
    <w:rsid w:val="00905435"/>
    <w:rsid w:val="0090579B"/>
    <w:rsid w:val="00906988"/>
    <w:rsid w:val="00906C81"/>
    <w:rsid w:val="00907081"/>
    <w:rsid w:val="00907126"/>
    <w:rsid w:val="0090735A"/>
    <w:rsid w:val="00907A7B"/>
    <w:rsid w:val="00907B3E"/>
    <w:rsid w:val="00907B53"/>
    <w:rsid w:val="0091021D"/>
    <w:rsid w:val="0091121E"/>
    <w:rsid w:val="00911698"/>
    <w:rsid w:val="009122A4"/>
    <w:rsid w:val="0091289F"/>
    <w:rsid w:val="00914029"/>
    <w:rsid w:val="009162A7"/>
    <w:rsid w:val="009173A7"/>
    <w:rsid w:val="0091799D"/>
    <w:rsid w:val="00920155"/>
    <w:rsid w:val="00920B72"/>
    <w:rsid w:val="009211B3"/>
    <w:rsid w:val="00921C69"/>
    <w:rsid w:val="009227AD"/>
    <w:rsid w:val="00924851"/>
    <w:rsid w:val="009258E7"/>
    <w:rsid w:val="009266F8"/>
    <w:rsid w:val="00926E9E"/>
    <w:rsid w:val="00927132"/>
    <w:rsid w:val="0092790C"/>
    <w:rsid w:val="00927C8A"/>
    <w:rsid w:val="009313AC"/>
    <w:rsid w:val="009315B9"/>
    <w:rsid w:val="00931AFB"/>
    <w:rsid w:val="00932538"/>
    <w:rsid w:val="00933111"/>
    <w:rsid w:val="00933534"/>
    <w:rsid w:val="009339CD"/>
    <w:rsid w:val="0093400B"/>
    <w:rsid w:val="0093427E"/>
    <w:rsid w:val="00934CB4"/>
    <w:rsid w:val="00936A6D"/>
    <w:rsid w:val="00936F0E"/>
    <w:rsid w:val="00940E56"/>
    <w:rsid w:val="0094179D"/>
    <w:rsid w:val="00942551"/>
    <w:rsid w:val="009426C2"/>
    <w:rsid w:val="00942B51"/>
    <w:rsid w:val="00943891"/>
    <w:rsid w:val="0094563A"/>
    <w:rsid w:val="009456B7"/>
    <w:rsid w:val="00946653"/>
    <w:rsid w:val="009472AB"/>
    <w:rsid w:val="0094743A"/>
    <w:rsid w:val="009475B6"/>
    <w:rsid w:val="009502A0"/>
    <w:rsid w:val="00951D42"/>
    <w:rsid w:val="00952864"/>
    <w:rsid w:val="00953636"/>
    <w:rsid w:val="00953A32"/>
    <w:rsid w:val="00953C24"/>
    <w:rsid w:val="0095402F"/>
    <w:rsid w:val="00954AF4"/>
    <w:rsid w:val="00954BAC"/>
    <w:rsid w:val="00955047"/>
    <w:rsid w:val="00956177"/>
    <w:rsid w:val="00956AB9"/>
    <w:rsid w:val="00956EFA"/>
    <w:rsid w:val="00957107"/>
    <w:rsid w:val="00961354"/>
    <w:rsid w:val="009615AA"/>
    <w:rsid w:val="00961E60"/>
    <w:rsid w:val="0096314C"/>
    <w:rsid w:val="009645DD"/>
    <w:rsid w:val="00965454"/>
    <w:rsid w:val="009656C0"/>
    <w:rsid w:val="009656E5"/>
    <w:rsid w:val="0096595E"/>
    <w:rsid w:val="009659DE"/>
    <w:rsid w:val="009666CE"/>
    <w:rsid w:val="009675E8"/>
    <w:rsid w:val="00967745"/>
    <w:rsid w:val="00967C5F"/>
    <w:rsid w:val="00967D4B"/>
    <w:rsid w:val="0097000D"/>
    <w:rsid w:val="009716C8"/>
    <w:rsid w:val="00971E9B"/>
    <w:rsid w:val="00972561"/>
    <w:rsid w:val="00972B42"/>
    <w:rsid w:val="00973301"/>
    <w:rsid w:val="00973C95"/>
    <w:rsid w:val="009748C9"/>
    <w:rsid w:val="00974D98"/>
    <w:rsid w:val="00976142"/>
    <w:rsid w:val="009765CD"/>
    <w:rsid w:val="009769DF"/>
    <w:rsid w:val="009776D5"/>
    <w:rsid w:val="00980EC0"/>
    <w:rsid w:val="00981130"/>
    <w:rsid w:val="00982091"/>
    <w:rsid w:val="00982449"/>
    <w:rsid w:val="00982A3C"/>
    <w:rsid w:val="00982B82"/>
    <w:rsid w:val="009833E6"/>
    <w:rsid w:val="00983AAD"/>
    <w:rsid w:val="00983F25"/>
    <w:rsid w:val="009841FF"/>
    <w:rsid w:val="0098466B"/>
    <w:rsid w:val="009849FD"/>
    <w:rsid w:val="00985915"/>
    <w:rsid w:val="009873E7"/>
    <w:rsid w:val="00987482"/>
    <w:rsid w:val="00987F2F"/>
    <w:rsid w:val="009903E9"/>
    <w:rsid w:val="00990628"/>
    <w:rsid w:val="009907EA"/>
    <w:rsid w:val="00990CBB"/>
    <w:rsid w:val="00990E56"/>
    <w:rsid w:val="00991447"/>
    <w:rsid w:val="0099176E"/>
    <w:rsid w:val="0099190C"/>
    <w:rsid w:val="0099207D"/>
    <w:rsid w:val="0099216C"/>
    <w:rsid w:val="009921D6"/>
    <w:rsid w:val="00993C09"/>
    <w:rsid w:val="00993E92"/>
    <w:rsid w:val="00994C5E"/>
    <w:rsid w:val="00994D32"/>
    <w:rsid w:val="00994E8C"/>
    <w:rsid w:val="00995867"/>
    <w:rsid w:val="00996867"/>
    <w:rsid w:val="009973B4"/>
    <w:rsid w:val="009974EC"/>
    <w:rsid w:val="009977DC"/>
    <w:rsid w:val="0099780B"/>
    <w:rsid w:val="009979C0"/>
    <w:rsid w:val="00997E0E"/>
    <w:rsid w:val="009A0AC9"/>
    <w:rsid w:val="009A0C79"/>
    <w:rsid w:val="009A0F9B"/>
    <w:rsid w:val="009A23A1"/>
    <w:rsid w:val="009A2C26"/>
    <w:rsid w:val="009A2CCA"/>
    <w:rsid w:val="009A31CC"/>
    <w:rsid w:val="009A3243"/>
    <w:rsid w:val="009A3FCD"/>
    <w:rsid w:val="009A3FCF"/>
    <w:rsid w:val="009A4CE5"/>
    <w:rsid w:val="009A50CC"/>
    <w:rsid w:val="009A5180"/>
    <w:rsid w:val="009A529B"/>
    <w:rsid w:val="009A63D7"/>
    <w:rsid w:val="009A6E21"/>
    <w:rsid w:val="009B0529"/>
    <w:rsid w:val="009B053B"/>
    <w:rsid w:val="009B0602"/>
    <w:rsid w:val="009B0B91"/>
    <w:rsid w:val="009B2103"/>
    <w:rsid w:val="009B2B7E"/>
    <w:rsid w:val="009B3415"/>
    <w:rsid w:val="009B433A"/>
    <w:rsid w:val="009B4FCD"/>
    <w:rsid w:val="009B5AE6"/>
    <w:rsid w:val="009B75C9"/>
    <w:rsid w:val="009C1B2E"/>
    <w:rsid w:val="009C2435"/>
    <w:rsid w:val="009C245C"/>
    <w:rsid w:val="009C2B5E"/>
    <w:rsid w:val="009C3141"/>
    <w:rsid w:val="009C66F2"/>
    <w:rsid w:val="009C6F21"/>
    <w:rsid w:val="009C7566"/>
    <w:rsid w:val="009C762F"/>
    <w:rsid w:val="009D0D79"/>
    <w:rsid w:val="009D0FD5"/>
    <w:rsid w:val="009D1122"/>
    <w:rsid w:val="009D1218"/>
    <w:rsid w:val="009D14B9"/>
    <w:rsid w:val="009D27F7"/>
    <w:rsid w:val="009D37C8"/>
    <w:rsid w:val="009D3BF0"/>
    <w:rsid w:val="009D43A6"/>
    <w:rsid w:val="009D43BE"/>
    <w:rsid w:val="009D43D8"/>
    <w:rsid w:val="009D43FF"/>
    <w:rsid w:val="009D7259"/>
    <w:rsid w:val="009D7BFB"/>
    <w:rsid w:val="009E0B9C"/>
    <w:rsid w:val="009E0C47"/>
    <w:rsid w:val="009E0C85"/>
    <w:rsid w:val="009E0E0E"/>
    <w:rsid w:val="009E188F"/>
    <w:rsid w:val="009E19C5"/>
    <w:rsid w:val="009E1B24"/>
    <w:rsid w:val="009E2DD6"/>
    <w:rsid w:val="009E36E9"/>
    <w:rsid w:val="009E3A56"/>
    <w:rsid w:val="009E4973"/>
    <w:rsid w:val="009E4C74"/>
    <w:rsid w:val="009E50E4"/>
    <w:rsid w:val="009E55EE"/>
    <w:rsid w:val="009E5E10"/>
    <w:rsid w:val="009E6E17"/>
    <w:rsid w:val="009E75BA"/>
    <w:rsid w:val="009E773E"/>
    <w:rsid w:val="009E786F"/>
    <w:rsid w:val="009E7A6F"/>
    <w:rsid w:val="009E7EE4"/>
    <w:rsid w:val="009F12AF"/>
    <w:rsid w:val="009F1765"/>
    <w:rsid w:val="009F1B4F"/>
    <w:rsid w:val="009F380A"/>
    <w:rsid w:val="009F3A70"/>
    <w:rsid w:val="009F3D08"/>
    <w:rsid w:val="009F403B"/>
    <w:rsid w:val="009F43CA"/>
    <w:rsid w:val="009F476D"/>
    <w:rsid w:val="009F47BB"/>
    <w:rsid w:val="009F4990"/>
    <w:rsid w:val="009F49EB"/>
    <w:rsid w:val="009F4FB1"/>
    <w:rsid w:val="009F6A12"/>
    <w:rsid w:val="009F709D"/>
    <w:rsid w:val="009F7334"/>
    <w:rsid w:val="009F7A87"/>
    <w:rsid w:val="00A007DF"/>
    <w:rsid w:val="00A010EE"/>
    <w:rsid w:val="00A02F31"/>
    <w:rsid w:val="00A02F99"/>
    <w:rsid w:val="00A04237"/>
    <w:rsid w:val="00A044EB"/>
    <w:rsid w:val="00A04D28"/>
    <w:rsid w:val="00A05E37"/>
    <w:rsid w:val="00A06261"/>
    <w:rsid w:val="00A07733"/>
    <w:rsid w:val="00A13787"/>
    <w:rsid w:val="00A14CA7"/>
    <w:rsid w:val="00A1569E"/>
    <w:rsid w:val="00A15805"/>
    <w:rsid w:val="00A15DB5"/>
    <w:rsid w:val="00A15E31"/>
    <w:rsid w:val="00A15ECE"/>
    <w:rsid w:val="00A16149"/>
    <w:rsid w:val="00A165CA"/>
    <w:rsid w:val="00A178F6"/>
    <w:rsid w:val="00A179F8"/>
    <w:rsid w:val="00A21AF3"/>
    <w:rsid w:val="00A21E11"/>
    <w:rsid w:val="00A2279F"/>
    <w:rsid w:val="00A22B74"/>
    <w:rsid w:val="00A233BC"/>
    <w:rsid w:val="00A24650"/>
    <w:rsid w:val="00A24EB1"/>
    <w:rsid w:val="00A2570A"/>
    <w:rsid w:val="00A2578B"/>
    <w:rsid w:val="00A2737F"/>
    <w:rsid w:val="00A278FF"/>
    <w:rsid w:val="00A30D3E"/>
    <w:rsid w:val="00A3120C"/>
    <w:rsid w:val="00A314D5"/>
    <w:rsid w:val="00A32E57"/>
    <w:rsid w:val="00A32EBE"/>
    <w:rsid w:val="00A32FBA"/>
    <w:rsid w:val="00A33A97"/>
    <w:rsid w:val="00A34857"/>
    <w:rsid w:val="00A36482"/>
    <w:rsid w:val="00A36E3C"/>
    <w:rsid w:val="00A36EBC"/>
    <w:rsid w:val="00A37035"/>
    <w:rsid w:val="00A402D1"/>
    <w:rsid w:val="00A41BD9"/>
    <w:rsid w:val="00A41DF7"/>
    <w:rsid w:val="00A4317C"/>
    <w:rsid w:val="00A431DE"/>
    <w:rsid w:val="00A44F1C"/>
    <w:rsid w:val="00A457A2"/>
    <w:rsid w:val="00A4597A"/>
    <w:rsid w:val="00A45F33"/>
    <w:rsid w:val="00A471E0"/>
    <w:rsid w:val="00A47DE1"/>
    <w:rsid w:val="00A500A3"/>
    <w:rsid w:val="00A505F6"/>
    <w:rsid w:val="00A50C30"/>
    <w:rsid w:val="00A50C7D"/>
    <w:rsid w:val="00A51426"/>
    <w:rsid w:val="00A51E07"/>
    <w:rsid w:val="00A52485"/>
    <w:rsid w:val="00A527B5"/>
    <w:rsid w:val="00A52C28"/>
    <w:rsid w:val="00A53717"/>
    <w:rsid w:val="00A54659"/>
    <w:rsid w:val="00A548A5"/>
    <w:rsid w:val="00A556E8"/>
    <w:rsid w:val="00A56104"/>
    <w:rsid w:val="00A605BB"/>
    <w:rsid w:val="00A6061F"/>
    <w:rsid w:val="00A631CE"/>
    <w:rsid w:val="00A6351A"/>
    <w:rsid w:val="00A63D8D"/>
    <w:rsid w:val="00A649BC"/>
    <w:rsid w:val="00A65B8C"/>
    <w:rsid w:val="00A70E6A"/>
    <w:rsid w:val="00A71467"/>
    <w:rsid w:val="00A714E7"/>
    <w:rsid w:val="00A7209F"/>
    <w:rsid w:val="00A74350"/>
    <w:rsid w:val="00A746DC"/>
    <w:rsid w:val="00A752CB"/>
    <w:rsid w:val="00A753A4"/>
    <w:rsid w:val="00A75519"/>
    <w:rsid w:val="00A75796"/>
    <w:rsid w:val="00A76EA9"/>
    <w:rsid w:val="00A77F29"/>
    <w:rsid w:val="00A8094C"/>
    <w:rsid w:val="00A80D5D"/>
    <w:rsid w:val="00A815DD"/>
    <w:rsid w:val="00A82E90"/>
    <w:rsid w:val="00A83806"/>
    <w:rsid w:val="00A84DD3"/>
    <w:rsid w:val="00A850FE"/>
    <w:rsid w:val="00A86039"/>
    <w:rsid w:val="00A863F0"/>
    <w:rsid w:val="00A86C47"/>
    <w:rsid w:val="00A874AE"/>
    <w:rsid w:val="00A87ADF"/>
    <w:rsid w:val="00A903CB"/>
    <w:rsid w:val="00A91DA1"/>
    <w:rsid w:val="00A92094"/>
    <w:rsid w:val="00A9260C"/>
    <w:rsid w:val="00A929FF"/>
    <w:rsid w:val="00A938AD"/>
    <w:rsid w:val="00A94125"/>
    <w:rsid w:val="00A94300"/>
    <w:rsid w:val="00A94674"/>
    <w:rsid w:val="00A94C82"/>
    <w:rsid w:val="00A94EE4"/>
    <w:rsid w:val="00A95606"/>
    <w:rsid w:val="00A956EA"/>
    <w:rsid w:val="00A959CA"/>
    <w:rsid w:val="00A960CA"/>
    <w:rsid w:val="00A97FA1"/>
    <w:rsid w:val="00AA048A"/>
    <w:rsid w:val="00AA0669"/>
    <w:rsid w:val="00AA1AA7"/>
    <w:rsid w:val="00AA1FD8"/>
    <w:rsid w:val="00AA2AFC"/>
    <w:rsid w:val="00AA2C34"/>
    <w:rsid w:val="00AA31ED"/>
    <w:rsid w:val="00AA45ED"/>
    <w:rsid w:val="00AA483A"/>
    <w:rsid w:val="00AA57A1"/>
    <w:rsid w:val="00AA6628"/>
    <w:rsid w:val="00AA66E4"/>
    <w:rsid w:val="00AA69AE"/>
    <w:rsid w:val="00AA743B"/>
    <w:rsid w:val="00AA7AB4"/>
    <w:rsid w:val="00AB0626"/>
    <w:rsid w:val="00AB0F93"/>
    <w:rsid w:val="00AB1751"/>
    <w:rsid w:val="00AB2DC2"/>
    <w:rsid w:val="00AB3251"/>
    <w:rsid w:val="00AB3256"/>
    <w:rsid w:val="00AB3FE4"/>
    <w:rsid w:val="00AB48AD"/>
    <w:rsid w:val="00AB589E"/>
    <w:rsid w:val="00AB599B"/>
    <w:rsid w:val="00AB59AE"/>
    <w:rsid w:val="00AB5B51"/>
    <w:rsid w:val="00AB5CD1"/>
    <w:rsid w:val="00AB779C"/>
    <w:rsid w:val="00AB7908"/>
    <w:rsid w:val="00AB793D"/>
    <w:rsid w:val="00AB7BE5"/>
    <w:rsid w:val="00AB7DE0"/>
    <w:rsid w:val="00AC040D"/>
    <w:rsid w:val="00AC10E7"/>
    <w:rsid w:val="00AC265F"/>
    <w:rsid w:val="00AC333F"/>
    <w:rsid w:val="00AC3BE5"/>
    <w:rsid w:val="00AC3E0E"/>
    <w:rsid w:val="00AC4D47"/>
    <w:rsid w:val="00AC5540"/>
    <w:rsid w:val="00AC58EB"/>
    <w:rsid w:val="00AC5900"/>
    <w:rsid w:val="00AC5F4D"/>
    <w:rsid w:val="00AC671E"/>
    <w:rsid w:val="00AC6A3E"/>
    <w:rsid w:val="00AC70A3"/>
    <w:rsid w:val="00AD0BBC"/>
    <w:rsid w:val="00AD0EA0"/>
    <w:rsid w:val="00AD13A5"/>
    <w:rsid w:val="00AD33EE"/>
    <w:rsid w:val="00AD486F"/>
    <w:rsid w:val="00AD4B3F"/>
    <w:rsid w:val="00AD55D1"/>
    <w:rsid w:val="00AD56E1"/>
    <w:rsid w:val="00AD5A2E"/>
    <w:rsid w:val="00AD6C88"/>
    <w:rsid w:val="00AD7A4D"/>
    <w:rsid w:val="00AE0024"/>
    <w:rsid w:val="00AE03CC"/>
    <w:rsid w:val="00AE17AD"/>
    <w:rsid w:val="00AE27FB"/>
    <w:rsid w:val="00AE2819"/>
    <w:rsid w:val="00AE2B00"/>
    <w:rsid w:val="00AE2D44"/>
    <w:rsid w:val="00AE2E62"/>
    <w:rsid w:val="00AE410C"/>
    <w:rsid w:val="00AE43E9"/>
    <w:rsid w:val="00AE516B"/>
    <w:rsid w:val="00AE6023"/>
    <w:rsid w:val="00AE60A1"/>
    <w:rsid w:val="00AE6B05"/>
    <w:rsid w:val="00AE6ECE"/>
    <w:rsid w:val="00AE7029"/>
    <w:rsid w:val="00AF0033"/>
    <w:rsid w:val="00AF02CF"/>
    <w:rsid w:val="00AF0497"/>
    <w:rsid w:val="00AF231F"/>
    <w:rsid w:val="00AF2BB7"/>
    <w:rsid w:val="00AF2F80"/>
    <w:rsid w:val="00AF2FA8"/>
    <w:rsid w:val="00AF40D1"/>
    <w:rsid w:val="00AF4B0E"/>
    <w:rsid w:val="00AF4EA6"/>
    <w:rsid w:val="00AF6DFD"/>
    <w:rsid w:val="00AF7266"/>
    <w:rsid w:val="00AF7D6D"/>
    <w:rsid w:val="00B001B7"/>
    <w:rsid w:val="00B005D2"/>
    <w:rsid w:val="00B035EA"/>
    <w:rsid w:val="00B03D5A"/>
    <w:rsid w:val="00B052B1"/>
    <w:rsid w:val="00B05F0B"/>
    <w:rsid w:val="00B0646A"/>
    <w:rsid w:val="00B069C3"/>
    <w:rsid w:val="00B07E28"/>
    <w:rsid w:val="00B07E6D"/>
    <w:rsid w:val="00B116FE"/>
    <w:rsid w:val="00B1171B"/>
    <w:rsid w:val="00B11E7C"/>
    <w:rsid w:val="00B12B4C"/>
    <w:rsid w:val="00B12D04"/>
    <w:rsid w:val="00B12E2D"/>
    <w:rsid w:val="00B13239"/>
    <w:rsid w:val="00B133A2"/>
    <w:rsid w:val="00B1387C"/>
    <w:rsid w:val="00B13D14"/>
    <w:rsid w:val="00B15513"/>
    <w:rsid w:val="00B16DDB"/>
    <w:rsid w:val="00B208D7"/>
    <w:rsid w:val="00B20E45"/>
    <w:rsid w:val="00B210B7"/>
    <w:rsid w:val="00B21B27"/>
    <w:rsid w:val="00B2412F"/>
    <w:rsid w:val="00B25283"/>
    <w:rsid w:val="00B25A5D"/>
    <w:rsid w:val="00B25DC8"/>
    <w:rsid w:val="00B26233"/>
    <w:rsid w:val="00B264E9"/>
    <w:rsid w:val="00B268A3"/>
    <w:rsid w:val="00B27B82"/>
    <w:rsid w:val="00B27C97"/>
    <w:rsid w:val="00B308BC"/>
    <w:rsid w:val="00B30F85"/>
    <w:rsid w:val="00B32473"/>
    <w:rsid w:val="00B332FD"/>
    <w:rsid w:val="00B33A30"/>
    <w:rsid w:val="00B35064"/>
    <w:rsid w:val="00B3603E"/>
    <w:rsid w:val="00B36598"/>
    <w:rsid w:val="00B36D1C"/>
    <w:rsid w:val="00B3723B"/>
    <w:rsid w:val="00B37B98"/>
    <w:rsid w:val="00B400D7"/>
    <w:rsid w:val="00B405CA"/>
    <w:rsid w:val="00B4096D"/>
    <w:rsid w:val="00B4112C"/>
    <w:rsid w:val="00B4120F"/>
    <w:rsid w:val="00B4136A"/>
    <w:rsid w:val="00B41CC7"/>
    <w:rsid w:val="00B42ABD"/>
    <w:rsid w:val="00B42C64"/>
    <w:rsid w:val="00B43541"/>
    <w:rsid w:val="00B44556"/>
    <w:rsid w:val="00B44623"/>
    <w:rsid w:val="00B45AE7"/>
    <w:rsid w:val="00B462E7"/>
    <w:rsid w:val="00B46A81"/>
    <w:rsid w:val="00B46C8E"/>
    <w:rsid w:val="00B476C2"/>
    <w:rsid w:val="00B47B9A"/>
    <w:rsid w:val="00B47CBD"/>
    <w:rsid w:val="00B50095"/>
    <w:rsid w:val="00B50254"/>
    <w:rsid w:val="00B50429"/>
    <w:rsid w:val="00B51E1F"/>
    <w:rsid w:val="00B52075"/>
    <w:rsid w:val="00B52C44"/>
    <w:rsid w:val="00B53997"/>
    <w:rsid w:val="00B548E8"/>
    <w:rsid w:val="00B551D1"/>
    <w:rsid w:val="00B558DD"/>
    <w:rsid w:val="00B55B53"/>
    <w:rsid w:val="00B56026"/>
    <w:rsid w:val="00B5733E"/>
    <w:rsid w:val="00B574BF"/>
    <w:rsid w:val="00B63697"/>
    <w:rsid w:val="00B6403C"/>
    <w:rsid w:val="00B64F79"/>
    <w:rsid w:val="00B65086"/>
    <w:rsid w:val="00B65710"/>
    <w:rsid w:val="00B6576A"/>
    <w:rsid w:val="00B6675A"/>
    <w:rsid w:val="00B67E33"/>
    <w:rsid w:val="00B70F0C"/>
    <w:rsid w:val="00B7306E"/>
    <w:rsid w:val="00B73288"/>
    <w:rsid w:val="00B74065"/>
    <w:rsid w:val="00B740C5"/>
    <w:rsid w:val="00B74360"/>
    <w:rsid w:val="00B74B2D"/>
    <w:rsid w:val="00B74DC5"/>
    <w:rsid w:val="00B7690D"/>
    <w:rsid w:val="00B76947"/>
    <w:rsid w:val="00B8092D"/>
    <w:rsid w:val="00B81211"/>
    <w:rsid w:val="00B8168C"/>
    <w:rsid w:val="00B821B4"/>
    <w:rsid w:val="00B82739"/>
    <w:rsid w:val="00B82FBE"/>
    <w:rsid w:val="00B841B6"/>
    <w:rsid w:val="00B845A8"/>
    <w:rsid w:val="00B84625"/>
    <w:rsid w:val="00B846AE"/>
    <w:rsid w:val="00B8472A"/>
    <w:rsid w:val="00B84EE4"/>
    <w:rsid w:val="00B8553D"/>
    <w:rsid w:val="00B85D59"/>
    <w:rsid w:val="00B863E0"/>
    <w:rsid w:val="00B866C6"/>
    <w:rsid w:val="00B86848"/>
    <w:rsid w:val="00B868F7"/>
    <w:rsid w:val="00B90D4B"/>
    <w:rsid w:val="00B91EAE"/>
    <w:rsid w:val="00B92C3E"/>
    <w:rsid w:val="00B93693"/>
    <w:rsid w:val="00B937B7"/>
    <w:rsid w:val="00B937C7"/>
    <w:rsid w:val="00B939B4"/>
    <w:rsid w:val="00B94394"/>
    <w:rsid w:val="00B944AC"/>
    <w:rsid w:val="00B94BD9"/>
    <w:rsid w:val="00B94D9C"/>
    <w:rsid w:val="00B96C6E"/>
    <w:rsid w:val="00B97B67"/>
    <w:rsid w:val="00B97C1E"/>
    <w:rsid w:val="00BA16E0"/>
    <w:rsid w:val="00BA3160"/>
    <w:rsid w:val="00BA3A1D"/>
    <w:rsid w:val="00BA5817"/>
    <w:rsid w:val="00BA5EC8"/>
    <w:rsid w:val="00BA6975"/>
    <w:rsid w:val="00BA7EF9"/>
    <w:rsid w:val="00BB005D"/>
    <w:rsid w:val="00BB0A90"/>
    <w:rsid w:val="00BB0FC8"/>
    <w:rsid w:val="00BB18A3"/>
    <w:rsid w:val="00BB1A34"/>
    <w:rsid w:val="00BB2E21"/>
    <w:rsid w:val="00BB4ACE"/>
    <w:rsid w:val="00BB6A39"/>
    <w:rsid w:val="00BB6D27"/>
    <w:rsid w:val="00BB7341"/>
    <w:rsid w:val="00BC0B5A"/>
    <w:rsid w:val="00BC140C"/>
    <w:rsid w:val="00BC1E2C"/>
    <w:rsid w:val="00BC27FF"/>
    <w:rsid w:val="00BC2A21"/>
    <w:rsid w:val="00BC322F"/>
    <w:rsid w:val="00BC475D"/>
    <w:rsid w:val="00BC5197"/>
    <w:rsid w:val="00BC66BD"/>
    <w:rsid w:val="00BC6B21"/>
    <w:rsid w:val="00BC7081"/>
    <w:rsid w:val="00BC753F"/>
    <w:rsid w:val="00BC7B34"/>
    <w:rsid w:val="00BD0568"/>
    <w:rsid w:val="00BD05D6"/>
    <w:rsid w:val="00BD0F2C"/>
    <w:rsid w:val="00BD3B9A"/>
    <w:rsid w:val="00BD40E6"/>
    <w:rsid w:val="00BD5183"/>
    <w:rsid w:val="00BD52ED"/>
    <w:rsid w:val="00BD5AE0"/>
    <w:rsid w:val="00BD642E"/>
    <w:rsid w:val="00BD64B6"/>
    <w:rsid w:val="00BD7547"/>
    <w:rsid w:val="00BE001A"/>
    <w:rsid w:val="00BE155B"/>
    <w:rsid w:val="00BE17B6"/>
    <w:rsid w:val="00BE19CF"/>
    <w:rsid w:val="00BE2DE8"/>
    <w:rsid w:val="00BE48EE"/>
    <w:rsid w:val="00BE5691"/>
    <w:rsid w:val="00BE6D70"/>
    <w:rsid w:val="00BE789D"/>
    <w:rsid w:val="00BF0025"/>
    <w:rsid w:val="00BF0061"/>
    <w:rsid w:val="00BF0B8E"/>
    <w:rsid w:val="00BF1C9F"/>
    <w:rsid w:val="00BF1FE5"/>
    <w:rsid w:val="00BF23A7"/>
    <w:rsid w:val="00BF2F54"/>
    <w:rsid w:val="00BF407E"/>
    <w:rsid w:val="00BF48FF"/>
    <w:rsid w:val="00BF5CC6"/>
    <w:rsid w:val="00BF63BE"/>
    <w:rsid w:val="00BF6BC3"/>
    <w:rsid w:val="00BF777A"/>
    <w:rsid w:val="00C000FD"/>
    <w:rsid w:val="00C030F3"/>
    <w:rsid w:val="00C03178"/>
    <w:rsid w:val="00C03197"/>
    <w:rsid w:val="00C03C12"/>
    <w:rsid w:val="00C03D81"/>
    <w:rsid w:val="00C0411E"/>
    <w:rsid w:val="00C04C0B"/>
    <w:rsid w:val="00C04C71"/>
    <w:rsid w:val="00C05103"/>
    <w:rsid w:val="00C05752"/>
    <w:rsid w:val="00C058B4"/>
    <w:rsid w:val="00C05F0F"/>
    <w:rsid w:val="00C07562"/>
    <w:rsid w:val="00C1148E"/>
    <w:rsid w:val="00C128BB"/>
    <w:rsid w:val="00C12D75"/>
    <w:rsid w:val="00C13C21"/>
    <w:rsid w:val="00C15CC5"/>
    <w:rsid w:val="00C16721"/>
    <w:rsid w:val="00C20346"/>
    <w:rsid w:val="00C231ED"/>
    <w:rsid w:val="00C235BF"/>
    <w:rsid w:val="00C238CB"/>
    <w:rsid w:val="00C248B9"/>
    <w:rsid w:val="00C24D24"/>
    <w:rsid w:val="00C25A48"/>
    <w:rsid w:val="00C25D57"/>
    <w:rsid w:val="00C26EA1"/>
    <w:rsid w:val="00C26EE5"/>
    <w:rsid w:val="00C27538"/>
    <w:rsid w:val="00C27FCA"/>
    <w:rsid w:val="00C3011A"/>
    <w:rsid w:val="00C312E6"/>
    <w:rsid w:val="00C31349"/>
    <w:rsid w:val="00C32BEE"/>
    <w:rsid w:val="00C34491"/>
    <w:rsid w:val="00C3449E"/>
    <w:rsid w:val="00C348F5"/>
    <w:rsid w:val="00C3498B"/>
    <w:rsid w:val="00C353DB"/>
    <w:rsid w:val="00C355E7"/>
    <w:rsid w:val="00C35E8E"/>
    <w:rsid w:val="00C36870"/>
    <w:rsid w:val="00C36A73"/>
    <w:rsid w:val="00C377AC"/>
    <w:rsid w:val="00C40AB5"/>
    <w:rsid w:val="00C42E83"/>
    <w:rsid w:val="00C436FF"/>
    <w:rsid w:val="00C4424C"/>
    <w:rsid w:val="00C44B0E"/>
    <w:rsid w:val="00C45706"/>
    <w:rsid w:val="00C467FA"/>
    <w:rsid w:val="00C46942"/>
    <w:rsid w:val="00C4716A"/>
    <w:rsid w:val="00C47249"/>
    <w:rsid w:val="00C50003"/>
    <w:rsid w:val="00C511B5"/>
    <w:rsid w:val="00C519E5"/>
    <w:rsid w:val="00C534DB"/>
    <w:rsid w:val="00C5391E"/>
    <w:rsid w:val="00C53D7F"/>
    <w:rsid w:val="00C5546B"/>
    <w:rsid w:val="00C56728"/>
    <w:rsid w:val="00C56997"/>
    <w:rsid w:val="00C56AF2"/>
    <w:rsid w:val="00C56D8F"/>
    <w:rsid w:val="00C5734B"/>
    <w:rsid w:val="00C575E9"/>
    <w:rsid w:val="00C6009A"/>
    <w:rsid w:val="00C600A9"/>
    <w:rsid w:val="00C6113D"/>
    <w:rsid w:val="00C612D2"/>
    <w:rsid w:val="00C629AC"/>
    <w:rsid w:val="00C63291"/>
    <w:rsid w:val="00C63B37"/>
    <w:rsid w:val="00C63D59"/>
    <w:rsid w:val="00C640BA"/>
    <w:rsid w:val="00C64A9F"/>
    <w:rsid w:val="00C64B1C"/>
    <w:rsid w:val="00C64DD7"/>
    <w:rsid w:val="00C655CD"/>
    <w:rsid w:val="00C66667"/>
    <w:rsid w:val="00C668C1"/>
    <w:rsid w:val="00C66FA3"/>
    <w:rsid w:val="00C673E4"/>
    <w:rsid w:val="00C677B5"/>
    <w:rsid w:val="00C677EB"/>
    <w:rsid w:val="00C7041A"/>
    <w:rsid w:val="00C70621"/>
    <w:rsid w:val="00C70BC2"/>
    <w:rsid w:val="00C71D83"/>
    <w:rsid w:val="00C72543"/>
    <w:rsid w:val="00C73139"/>
    <w:rsid w:val="00C74C01"/>
    <w:rsid w:val="00C74F18"/>
    <w:rsid w:val="00C75317"/>
    <w:rsid w:val="00C7643E"/>
    <w:rsid w:val="00C76F53"/>
    <w:rsid w:val="00C77BB8"/>
    <w:rsid w:val="00C77D8E"/>
    <w:rsid w:val="00C77F18"/>
    <w:rsid w:val="00C804DF"/>
    <w:rsid w:val="00C80771"/>
    <w:rsid w:val="00C80A08"/>
    <w:rsid w:val="00C832E6"/>
    <w:rsid w:val="00C8356D"/>
    <w:rsid w:val="00C84FD4"/>
    <w:rsid w:val="00C867B1"/>
    <w:rsid w:val="00C87F2F"/>
    <w:rsid w:val="00C90B9D"/>
    <w:rsid w:val="00C91CFA"/>
    <w:rsid w:val="00C92101"/>
    <w:rsid w:val="00C929AF"/>
    <w:rsid w:val="00C92BAF"/>
    <w:rsid w:val="00C93508"/>
    <w:rsid w:val="00C948AD"/>
    <w:rsid w:val="00C94AEE"/>
    <w:rsid w:val="00C94B0F"/>
    <w:rsid w:val="00C95045"/>
    <w:rsid w:val="00C9524A"/>
    <w:rsid w:val="00C96E4F"/>
    <w:rsid w:val="00C971F3"/>
    <w:rsid w:val="00C976C7"/>
    <w:rsid w:val="00CA030E"/>
    <w:rsid w:val="00CA06FC"/>
    <w:rsid w:val="00CA1D06"/>
    <w:rsid w:val="00CA2D7C"/>
    <w:rsid w:val="00CA37FF"/>
    <w:rsid w:val="00CA42D0"/>
    <w:rsid w:val="00CA430E"/>
    <w:rsid w:val="00CA46E4"/>
    <w:rsid w:val="00CA4D55"/>
    <w:rsid w:val="00CA4FA7"/>
    <w:rsid w:val="00CA78E3"/>
    <w:rsid w:val="00CB0035"/>
    <w:rsid w:val="00CB078B"/>
    <w:rsid w:val="00CB0CEA"/>
    <w:rsid w:val="00CB1863"/>
    <w:rsid w:val="00CB1B09"/>
    <w:rsid w:val="00CB1BA9"/>
    <w:rsid w:val="00CB2001"/>
    <w:rsid w:val="00CB3919"/>
    <w:rsid w:val="00CB43FE"/>
    <w:rsid w:val="00CB4435"/>
    <w:rsid w:val="00CB4E53"/>
    <w:rsid w:val="00CB5C11"/>
    <w:rsid w:val="00CB677F"/>
    <w:rsid w:val="00CB6782"/>
    <w:rsid w:val="00CB6DAD"/>
    <w:rsid w:val="00CB73C3"/>
    <w:rsid w:val="00CB7984"/>
    <w:rsid w:val="00CB798F"/>
    <w:rsid w:val="00CB7CA8"/>
    <w:rsid w:val="00CC0BA5"/>
    <w:rsid w:val="00CC2049"/>
    <w:rsid w:val="00CC2921"/>
    <w:rsid w:val="00CC2E55"/>
    <w:rsid w:val="00CC76E6"/>
    <w:rsid w:val="00CC772D"/>
    <w:rsid w:val="00CC7C85"/>
    <w:rsid w:val="00CD096F"/>
    <w:rsid w:val="00CD1FF4"/>
    <w:rsid w:val="00CD202A"/>
    <w:rsid w:val="00CD24CD"/>
    <w:rsid w:val="00CD3528"/>
    <w:rsid w:val="00CD3829"/>
    <w:rsid w:val="00CD39FE"/>
    <w:rsid w:val="00CD3AE0"/>
    <w:rsid w:val="00CD4211"/>
    <w:rsid w:val="00CD48A5"/>
    <w:rsid w:val="00CD4A86"/>
    <w:rsid w:val="00CD51E4"/>
    <w:rsid w:val="00CD58FD"/>
    <w:rsid w:val="00CD62D6"/>
    <w:rsid w:val="00CD77F5"/>
    <w:rsid w:val="00CE0053"/>
    <w:rsid w:val="00CE005D"/>
    <w:rsid w:val="00CE02D6"/>
    <w:rsid w:val="00CE0BFB"/>
    <w:rsid w:val="00CE2246"/>
    <w:rsid w:val="00CE2755"/>
    <w:rsid w:val="00CE2ADF"/>
    <w:rsid w:val="00CE2C28"/>
    <w:rsid w:val="00CE3221"/>
    <w:rsid w:val="00CE3DF6"/>
    <w:rsid w:val="00CE4BC2"/>
    <w:rsid w:val="00CE50AE"/>
    <w:rsid w:val="00CE6DAF"/>
    <w:rsid w:val="00CE765E"/>
    <w:rsid w:val="00CE776E"/>
    <w:rsid w:val="00CF0651"/>
    <w:rsid w:val="00CF14E6"/>
    <w:rsid w:val="00CF2936"/>
    <w:rsid w:val="00CF2E4D"/>
    <w:rsid w:val="00CF3C86"/>
    <w:rsid w:val="00CF47A1"/>
    <w:rsid w:val="00CF5960"/>
    <w:rsid w:val="00CF5E09"/>
    <w:rsid w:val="00CF7984"/>
    <w:rsid w:val="00CF7B8C"/>
    <w:rsid w:val="00D005F9"/>
    <w:rsid w:val="00D00930"/>
    <w:rsid w:val="00D00D46"/>
    <w:rsid w:val="00D00FFF"/>
    <w:rsid w:val="00D013EB"/>
    <w:rsid w:val="00D01CC2"/>
    <w:rsid w:val="00D0210C"/>
    <w:rsid w:val="00D02AB0"/>
    <w:rsid w:val="00D02B5B"/>
    <w:rsid w:val="00D02E90"/>
    <w:rsid w:val="00D0369B"/>
    <w:rsid w:val="00D04141"/>
    <w:rsid w:val="00D0596E"/>
    <w:rsid w:val="00D05DF0"/>
    <w:rsid w:val="00D05E28"/>
    <w:rsid w:val="00D062CE"/>
    <w:rsid w:val="00D065DA"/>
    <w:rsid w:val="00D0675B"/>
    <w:rsid w:val="00D111E6"/>
    <w:rsid w:val="00D11846"/>
    <w:rsid w:val="00D12BC5"/>
    <w:rsid w:val="00D138F4"/>
    <w:rsid w:val="00D155B2"/>
    <w:rsid w:val="00D161D9"/>
    <w:rsid w:val="00D16653"/>
    <w:rsid w:val="00D167F2"/>
    <w:rsid w:val="00D17710"/>
    <w:rsid w:val="00D17E23"/>
    <w:rsid w:val="00D20157"/>
    <w:rsid w:val="00D203B9"/>
    <w:rsid w:val="00D20858"/>
    <w:rsid w:val="00D21AE3"/>
    <w:rsid w:val="00D23038"/>
    <w:rsid w:val="00D233A5"/>
    <w:rsid w:val="00D26789"/>
    <w:rsid w:val="00D26A1E"/>
    <w:rsid w:val="00D26B27"/>
    <w:rsid w:val="00D30E0B"/>
    <w:rsid w:val="00D31129"/>
    <w:rsid w:val="00D31729"/>
    <w:rsid w:val="00D31E37"/>
    <w:rsid w:val="00D3429C"/>
    <w:rsid w:val="00D34621"/>
    <w:rsid w:val="00D347B3"/>
    <w:rsid w:val="00D34869"/>
    <w:rsid w:val="00D36DE4"/>
    <w:rsid w:val="00D413F6"/>
    <w:rsid w:val="00D42535"/>
    <w:rsid w:val="00D441FE"/>
    <w:rsid w:val="00D44504"/>
    <w:rsid w:val="00D45582"/>
    <w:rsid w:val="00D458C4"/>
    <w:rsid w:val="00D45BF8"/>
    <w:rsid w:val="00D45F1B"/>
    <w:rsid w:val="00D46599"/>
    <w:rsid w:val="00D46CAB"/>
    <w:rsid w:val="00D473BB"/>
    <w:rsid w:val="00D4742D"/>
    <w:rsid w:val="00D47E18"/>
    <w:rsid w:val="00D50E44"/>
    <w:rsid w:val="00D51223"/>
    <w:rsid w:val="00D51932"/>
    <w:rsid w:val="00D53F74"/>
    <w:rsid w:val="00D54513"/>
    <w:rsid w:val="00D5544A"/>
    <w:rsid w:val="00D55866"/>
    <w:rsid w:val="00D55CE9"/>
    <w:rsid w:val="00D563C2"/>
    <w:rsid w:val="00D5693C"/>
    <w:rsid w:val="00D56BDA"/>
    <w:rsid w:val="00D56EC2"/>
    <w:rsid w:val="00D56EF5"/>
    <w:rsid w:val="00D5752A"/>
    <w:rsid w:val="00D57B9D"/>
    <w:rsid w:val="00D60035"/>
    <w:rsid w:val="00D603D3"/>
    <w:rsid w:val="00D60B73"/>
    <w:rsid w:val="00D613F9"/>
    <w:rsid w:val="00D62CD5"/>
    <w:rsid w:val="00D63C81"/>
    <w:rsid w:val="00D63F8B"/>
    <w:rsid w:val="00D64187"/>
    <w:rsid w:val="00D6499E"/>
    <w:rsid w:val="00D64A29"/>
    <w:rsid w:val="00D65912"/>
    <w:rsid w:val="00D6638E"/>
    <w:rsid w:val="00D66585"/>
    <w:rsid w:val="00D66B53"/>
    <w:rsid w:val="00D67777"/>
    <w:rsid w:val="00D67EB6"/>
    <w:rsid w:val="00D67F71"/>
    <w:rsid w:val="00D70460"/>
    <w:rsid w:val="00D71E5F"/>
    <w:rsid w:val="00D71E81"/>
    <w:rsid w:val="00D75610"/>
    <w:rsid w:val="00D758BC"/>
    <w:rsid w:val="00D75C20"/>
    <w:rsid w:val="00D75C72"/>
    <w:rsid w:val="00D80A1C"/>
    <w:rsid w:val="00D81762"/>
    <w:rsid w:val="00D818B9"/>
    <w:rsid w:val="00D81ADD"/>
    <w:rsid w:val="00D81E7F"/>
    <w:rsid w:val="00D82CCB"/>
    <w:rsid w:val="00D83355"/>
    <w:rsid w:val="00D8362B"/>
    <w:rsid w:val="00D83A2E"/>
    <w:rsid w:val="00D84857"/>
    <w:rsid w:val="00D848E6"/>
    <w:rsid w:val="00D84A16"/>
    <w:rsid w:val="00D856E4"/>
    <w:rsid w:val="00D85855"/>
    <w:rsid w:val="00D85CEE"/>
    <w:rsid w:val="00D86597"/>
    <w:rsid w:val="00D9062F"/>
    <w:rsid w:val="00D90A77"/>
    <w:rsid w:val="00D90B28"/>
    <w:rsid w:val="00D90F20"/>
    <w:rsid w:val="00D91929"/>
    <w:rsid w:val="00D922AF"/>
    <w:rsid w:val="00D9238C"/>
    <w:rsid w:val="00D92742"/>
    <w:rsid w:val="00D93321"/>
    <w:rsid w:val="00D93C8A"/>
    <w:rsid w:val="00D94AA3"/>
    <w:rsid w:val="00D94B6F"/>
    <w:rsid w:val="00D9503F"/>
    <w:rsid w:val="00D9519C"/>
    <w:rsid w:val="00D95993"/>
    <w:rsid w:val="00D968D0"/>
    <w:rsid w:val="00D96D62"/>
    <w:rsid w:val="00DA0189"/>
    <w:rsid w:val="00DA044F"/>
    <w:rsid w:val="00DA1093"/>
    <w:rsid w:val="00DA135A"/>
    <w:rsid w:val="00DA14B5"/>
    <w:rsid w:val="00DA1642"/>
    <w:rsid w:val="00DA178B"/>
    <w:rsid w:val="00DA1D5C"/>
    <w:rsid w:val="00DA233D"/>
    <w:rsid w:val="00DA2AF7"/>
    <w:rsid w:val="00DA3677"/>
    <w:rsid w:val="00DA3C75"/>
    <w:rsid w:val="00DA3E8D"/>
    <w:rsid w:val="00DA43DA"/>
    <w:rsid w:val="00DA4AEA"/>
    <w:rsid w:val="00DA4DB0"/>
    <w:rsid w:val="00DA564A"/>
    <w:rsid w:val="00DA5A3B"/>
    <w:rsid w:val="00DA5AC8"/>
    <w:rsid w:val="00DA5B63"/>
    <w:rsid w:val="00DA5DB3"/>
    <w:rsid w:val="00DA6CDD"/>
    <w:rsid w:val="00DA705D"/>
    <w:rsid w:val="00DA7C7C"/>
    <w:rsid w:val="00DB0DB0"/>
    <w:rsid w:val="00DB234E"/>
    <w:rsid w:val="00DB320C"/>
    <w:rsid w:val="00DB3DC6"/>
    <w:rsid w:val="00DB450B"/>
    <w:rsid w:val="00DB469B"/>
    <w:rsid w:val="00DB4D55"/>
    <w:rsid w:val="00DB580C"/>
    <w:rsid w:val="00DB794F"/>
    <w:rsid w:val="00DB79E7"/>
    <w:rsid w:val="00DB7AD5"/>
    <w:rsid w:val="00DC06DD"/>
    <w:rsid w:val="00DC07EA"/>
    <w:rsid w:val="00DC15A0"/>
    <w:rsid w:val="00DC1830"/>
    <w:rsid w:val="00DC1E53"/>
    <w:rsid w:val="00DC25E3"/>
    <w:rsid w:val="00DC2B63"/>
    <w:rsid w:val="00DC3406"/>
    <w:rsid w:val="00DC3D4E"/>
    <w:rsid w:val="00DC3E94"/>
    <w:rsid w:val="00DC3F56"/>
    <w:rsid w:val="00DC4A08"/>
    <w:rsid w:val="00DC4E40"/>
    <w:rsid w:val="00DC5089"/>
    <w:rsid w:val="00DC66B0"/>
    <w:rsid w:val="00DC71B2"/>
    <w:rsid w:val="00DC73C9"/>
    <w:rsid w:val="00DD0317"/>
    <w:rsid w:val="00DD115E"/>
    <w:rsid w:val="00DD21E5"/>
    <w:rsid w:val="00DD2EA5"/>
    <w:rsid w:val="00DD317C"/>
    <w:rsid w:val="00DD3453"/>
    <w:rsid w:val="00DD44A8"/>
    <w:rsid w:val="00DD5F57"/>
    <w:rsid w:val="00DD6D56"/>
    <w:rsid w:val="00DD77A5"/>
    <w:rsid w:val="00DE034B"/>
    <w:rsid w:val="00DE0598"/>
    <w:rsid w:val="00DE0F03"/>
    <w:rsid w:val="00DE101D"/>
    <w:rsid w:val="00DE358D"/>
    <w:rsid w:val="00DE432E"/>
    <w:rsid w:val="00DE491C"/>
    <w:rsid w:val="00DE51AC"/>
    <w:rsid w:val="00DE5E80"/>
    <w:rsid w:val="00DE6339"/>
    <w:rsid w:val="00DE66D1"/>
    <w:rsid w:val="00DE794F"/>
    <w:rsid w:val="00DE7A34"/>
    <w:rsid w:val="00DE7B7D"/>
    <w:rsid w:val="00DE7EBD"/>
    <w:rsid w:val="00DF0467"/>
    <w:rsid w:val="00DF04A5"/>
    <w:rsid w:val="00DF0781"/>
    <w:rsid w:val="00DF1548"/>
    <w:rsid w:val="00DF1AF0"/>
    <w:rsid w:val="00DF2008"/>
    <w:rsid w:val="00DF2AB4"/>
    <w:rsid w:val="00DF300D"/>
    <w:rsid w:val="00DF3573"/>
    <w:rsid w:val="00DF43BC"/>
    <w:rsid w:val="00DF4B98"/>
    <w:rsid w:val="00DF592A"/>
    <w:rsid w:val="00DF5E1C"/>
    <w:rsid w:val="00DF6067"/>
    <w:rsid w:val="00DF6D7F"/>
    <w:rsid w:val="00E00DCF"/>
    <w:rsid w:val="00E0166B"/>
    <w:rsid w:val="00E02B0E"/>
    <w:rsid w:val="00E0390B"/>
    <w:rsid w:val="00E03E64"/>
    <w:rsid w:val="00E0404B"/>
    <w:rsid w:val="00E0622C"/>
    <w:rsid w:val="00E10E50"/>
    <w:rsid w:val="00E11803"/>
    <w:rsid w:val="00E11CB3"/>
    <w:rsid w:val="00E1395E"/>
    <w:rsid w:val="00E13973"/>
    <w:rsid w:val="00E13AB1"/>
    <w:rsid w:val="00E14613"/>
    <w:rsid w:val="00E14952"/>
    <w:rsid w:val="00E14F6D"/>
    <w:rsid w:val="00E15161"/>
    <w:rsid w:val="00E15E79"/>
    <w:rsid w:val="00E167F7"/>
    <w:rsid w:val="00E169B8"/>
    <w:rsid w:val="00E171CD"/>
    <w:rsid w:val="00E178D2"/>
    <w:rsid w:val="00E17B04"/>
    <w:rsid w:val="00E206BD"/>
    <w:rsid w:val="00E229A4"/>
    <w:rsid w:val="00E22ED8"/>
    <w:rsid w:val="00E230CE"/>
    <w:rsid w:val="00E2332B"/>
    <w:rsid w:val="00E2370B"/>
    <w:rsid w:val="00E2459D"/>
    <w:rsid w:val="00E24601"/>
    <w:rsid w:val="00E24965"/>
    <w:rsid w:val="00E25461"/>
    <w:rsid w:val="00E25CD3"/>
    <w:rsid w:val="00E25E57"/>
    <w:rsid w:val="00E27039"/>
    <w:rsid w:val="00E273BC"/>
    <w:rsid w:val="00E27841"/>
    <w:rsid w:val="00E27B96"/>
    <w:rsid w:val="00E27BA5"/>
    <w:rsid w:val="00E27BCB"/>
    <w:rsid w:val="00E30507"/>
    <w:rsid w:val="00E31D0F"/>
    <w:rsid w:val="00E32126"/>
    <w:rsid w:val="00E3328C"/>
    <w:rsid w:val="00E3335D"/>
    <w:rsid w:val="00E33415"/>
    <w:rsid w:val="00E3387A"/>
    <w:rsid w:val="00E33A9A"/>
    <w:rsid w:val="00E33F79"/>
    <w:rsid w:val="00E34770"/>
    <w:rsid w:val="00E34A4A"/>
    <w:rsid w:val="00E36660"/>
    <w:rsid w:val="00E3666A"/>
    <w:rsid w:val="00E367E4"/>
    <w:rsid w:val="00E36DD4"/>
    <w:rsid w:val="00E37002"/>
    <w:rsid w:val="00E401EF"/>
    <w:rsid w:val="00E42511"/>
    <w:rsid w:val="00E43C9C"/>
    <w:rsid w:val="00E44621"/>
    <w:rsid w:val="00E452A6"/>
    <w:rsid w:val="00E452F2"/>
    <w:rsid w:val="00E462AB"/>
    <w:rsid w:val="00E501CA"/>
    <w:rsid w:val="00E51FB5"/>
    <w:rsid w:val="00E524C7"/>
    <w:rsid w:val="00E52641"/>
    <w:rsid w:val="00E52A5D"/>
    <w:rsid w:val="00E52C08"/>
    <w:rsid w:val="00E54108"/>
    <w:rsid w:val="00E5433C"/>
    <w:rsid w:val="00E54BC6"/>
    <w:rsid w:val="00E54FB3"/>
    <w:rsid w:val="00E55880"/>
    <w:rsid w:val="00E55896"/>
    <w:rsid w:val="00E561D2"/>
    <w:rsid w:val="00E56E6E"/>
    <w:rsid w:val="00E56F95"/>
    <w:rsid w:val="00E574C3"/>
    <w:rsid w:val="00E577AD"/>
    <w:rsid w:val="00E57808"/>
    <w:rsid w:val="00E600AC"/>
    <w:rsid w:val="00E60182"/>
    <w:rsid w:val="00E609CB"/>
    <w:rsid w:val="00E60B81"/>
    <w:rsid w:val="00E63473"/>
    <w:rsid w:val="00E63892"/>
    <w:rsid w:val="00E64071"/>
    <w:rsid w:val="00E64126"/>
    <w:rsid w:val="00E64BF7"/>
    <w:rsid w:val="00E65082"/>
    <w:rsid w:val="00E65507"/>
    <w:rsid w:val="00E65A22"/>
    <w:rsid w:val="00E662B8"/>
    <w:rsid w:val="00E66824"/>
    <w:rsid w:val="00E6718B"/>
    <w:rsid w:val="00E673AF"/>
    <w:rsid w:val="00E6740D"/>
    <w:rsid w:val="00E675E0"/>
    <w:rsid w:val="00E677CF"/>
    <w:rsid w:val="00E6798E"/>
    <w:rsid w:val="00E67F75"/>
    <w:rsid w:val="00E7142A"/>
    <w:rsid w:val="00E7175F"/>
    <w:rsid w:val="00E71765"/>
    <w:rsid w:val="00E7176C"/>
    <w:rsid w:val="00E719DB"/>
    <w:rsid w:val="00E725B6"/>
    <w:rsid w:val="00E72898"/>
    <w:rsid w:val="00E7310D"/>
    <w:rsid w:val="00E73691"/>
    <w:rsid w:val="00E7442C"/>
    <w:rsid w:val="00E74853"/>
    <w:rsid w:val="00E74E2D"/>
    <w:rsid w:val="00E755C7"/>
    <w:rsid w:val="00E75835"/>
    <w:rsid w:val="00E762FE"/>
    <w:rsid w:val="00E76819"/>
    <w:rsid w:val="00E7725F"/>
    <w:rsid w:val="00E77286"/>
    <w:rsid w:val="00E77BC6"/>
    <w:rsid w:val="00E80832"/>
    <w:rsid w:val="00E809A4"/>
    <w:rsid w:val="00E81769"/>
    <w:rsid w:val="00E81C21"/>
    <w:rsid w:val="00E822CC"/>
    <w:rsid w:val="00E83BA6"/>
    <w:rsid w:val="00E8411B"/>
    <w:rsid w:val="00E84321"/>
    <w:rsid w:val="00E84546"/>
    <w:rsid w:val="00E85127"/>
    <w:rsid w:val="00E86240"/>
    <w:rsid w:val="00E86394"/>
    <w:rsid w:val="00E8746A"/>
    <w:rsid w:val="00E874B5"/>
    <w:rsid w:val="00E87645"/>
    <w:rsid w:val="00E87DA7"/>
    <w:rsid w:val="00E93827"/>
    <w:rsid w:val="00E941B3"/>
    <w:rsid w:val="00E947B6"/>
    <w:rsid w:val="00E95281"/>
    <w:rsid w:val="00E96B1A"/>
    <w:rsid w:val="00E96F96"/>
    <w:rsid w:val="00E97199"/>
    <w:rsid w:val="00E974FC"/>
    <w:rsid w:val="00EA20AD"/>
    <w:rsid w:val="00EA2E2E"/>
    <w:rsid w:val="00EA37E8"/>
    <w:rsid w:val="00EA460A"/>
    <w:rsid w:val="00EA4917"/>
    <w:rsid w:val="00EA4DAD"/>
    <w:rsid w:val="00EA51E3"/>
    <w:rsid w:val="00EA5891"/>
    <w:rsid w:val="00EA59DC"/>
    <w:rsid w:val="00EA5ACC"/>
    <w:rsid w:val="00EA607C"/>
    <w:rsid w:val="00EA6A2F"/>
    <w:rsid w:val="00EA6D04"/>
    <w:rsid w:val="00EB0639"/>
    <w:rsid w:val="00EB17F5"/>
    <w:rsid w:val="00EB3058"/>
    <w:rsid w:val="00EB3557"/>
    <w:rsid w:val="00EB3F87"/>
    <w:rsid w:val="00EB4400"/>
    <w:rsid w:val="00EB538B"/>
    <w:rsid w:val="00EB5760"/>
    <w:rsid w:val="00EB5797"/>
    <w:rsid w:val="00EB5B34"/>
    <w:rsid w:val="00EB6BEC"/>
    <w:rsid w:val="00EC1165"/>
    <w:rsid w:val="00EC137E"/>
    <w:rsid w:val="00EC1AD3"/>
    <w:rsid w:val="00EC23E8"/>
    <w:rsid w:val="00EC27B8"/>
    <w:rsid w:val="00EC2FC5"/>
    <w:rsid w:val="00EC313E"/>
    <w:rsid w:val="00EC3706"/>
    <w:rsid w:val="00EC475E"/>
    <w:rsid w:val="00EC4A52"/>
    <w:rsid w:val="00EC5898"/>
    <w:rsid w:val="00EC721A"/>
    <w:rsid w:val="00EC7425"/>
    <w:rsid w:val="00EC744B"/>
    <w:rsid w:val="00ED043B"/>
    <w:rsid w:val="00ED0C0E"/>
    <w:rsid w:val="00ED1016"/>
    <w:rsid w:val="00ED11F1"/>
    <w:rsid w:val="00ED3565"/>
    <w:rsid w:val="00ED36F2"/>
    <w:rsid w:val="00ED370C"/>
    <w:rsid w:val="00ED6025"/>
    <w:rsid w:val="00ED6684"/>
    <w:rsid w:val="00ED78FB"/>
    <w:rsid w:val="00ED7BEE"/>
    <w:rsid w:val="00EE0202"/>
    <w:rsid w:val="00EE3005"/>
    <w:rsid w:val="00EE3B04"/>
    <w:rsid w:val="00EE3BD1"/>
    <w:rsid w:val="00EE3FDB"/>
    <w:rsid w:val="00EE473F"/>
    <w:rsid w:val="00EE476F"/>
    <w:rsid w:val="00EE4D7D"/>
    <w:rsid w:val="00EE6CA8"/>
    <w:rsid w:val="00EE72B0"/>
    <w:rsid w:val="00EE7CE0"/>
    <w:rsid w:val="00EF0016"/>
    <w:rsid w:val="00EF1913"/>
    <w:rsid w:val="00EF1E88"/>
    <w:rsid w:val="00EF2AAA"/>
    <w:rsid w:val="00EF3899"/>
    <w:rsid w:val="00EF5CB2"/>
    <w:rsid w:val="00EF63D5"/>
    <w:rsid w:val="00EF72BD"/>
    <w:rsid w:val="00EF7348"/>
    <w:rsid w:val="00EF79B8"/>
    <w:rsid w:val="00EF7FCB"/>
    <w:rsid w:val="00F001E0"/>
    <w:rsid w:val="00F00A4B"/>
    <w:rsid w:val="00F016B2"/>
    <w:rsid w:val="00F01A63"/>
    <w:rsid w:val="00F0228B"/>
    <w:rsid w:val="00F02365"/>
    <w:rsid w:val="00F0340D"/>
    <w:rsid w:val="00F0477B"/>
    <w:rsid w:val="00F04B37"/>
    <w:rsid w:val="00F04F3B"/>
    <w:rsid w:val="00F05071"/>
    <w:rsid w:val="00F05361"/>
    <w:rsid w:val="00F067C1"/>
    <w:rsid w:val="00F06B57"/>
    <w:rsid w:val="00F0776C"/>
    <w:rsid w:val="00F10B5C"/>
    <w:rsid w:val="00F1138F"/>
    <w:rsid w:val="00F114FC"/>
    <w:rsid w:val="00F11710"/>
    <w:rsid w:val="00F11CEF"/>
    <w:rsid w:val="00F12961"/>
    <w:rsid w:val="00F13173"/>
    <w:rsid w:val="00F15F51"/>
    <w:rsid w:val="00F17051"/>
    <w:rsid w:val="00F170C3"/>
    <w:rsid w:val="00F17A87"/>
    <w:rsid w:val="00F20409"/>
    <w:rsid w:val="00F20ED5"/>
    <w:rsid w:val="00F21029"/>
    <w:rsid w:val="00F215B1"/>
    <w:rsid w:val="00F21D19"/>
    <w:rsid w:val="00F22416"/>
    <w:rsid w:val="00F234FE"/>
    <w:rsid w:val="00F24222"/>
    <w:rsid w:val="00F24D27"/>
    <w:rsid w:val="00F2511C"/>
    <w:rsid w:val="00F26D4F"/>
    <w:rsid w:val="00F26FA6"/>
    <w:rsid w:val="00F276E5"/>
    <w:rsid w:val="00F30911"/>
    <w:rsid w:val="00F30C9C"/>
    <w:rsid w:val="00F30F28"/>
    <w:rsid w:val="00F31819"/>
    <w:rsid w:val="00F31F2C"/>
    <w:rsid w:val="00F32893"/>
    <w:rsid w:val="00F32CB0"/>
    <w:rsid w:val="00F342E3"/>
    <w:rsid w:val="00F34F2F"/>
    <w:rsid w:val="00F350D2"/>
    <w:rsid w:val="00F355F1"/>
    <w:rsid w:val="00F3670C"/>
    <w:rsid w:val="00F36C4E"/>
    <w:rsid w:val="00F3713B"/>
    <w:rsid w:val="00F3753E"/>
    <w:rsid w:val="00F37B87"/>
    <w:rsid w:val="00F37E31"/>
    <w:rsid w:val="00F40513"/>
    <w:rsid w:val="00F40852"/>
    <w:rsid w:val="00F40D5A"/>
    <w:rsid w:val="00F40E54"/>
    <w:rsid w:val="00F41D2A"/>
    <w:rsid w:val="00F433DB"/>
    <w:rsid w:val="00F45F4A"/>
    <w:rsid w:val="00F45F85"/>
    <w:rsid w:val="00F4643E"/>
    <w:rsid w:val="00F46965"/>
    <w:rsid w:val="00F46B7B"/>
    <w:rsid w:val="00F47CCB"/>
    <w:rsid w:val="00F47D56"/>
    <w:rsid w:val="00F50335"/>
    <w:rsid w:val="00F5046E"/>
    <w:rsid w:val="00F51118"/>
    <w:rsid w:val="00F5168A"/>
    <w:rsid w:val="00F51B65"/>
    <w:rsid w:val="00F53B8C"/>
    <w:rsid w:val="00F540FD"/>
    <w:rsid w:val="00F542F4"/>
    <w:rsid w:val="00F5541E"/>
    <w:rsid w:val="00F558A9"/>
    <w:rsid w:val="00F56215"/>
    <w:rsid w:val="00F56EC7"/>
    <w:rsid w:val="00F602E2"/>
    <w:rsid w:val="00F606B0"/>
    <w:rsid w:val="00F61133"/>
    <w:rsid w:val="00F61B6A"/>
    <w:rsid w:val="00F61E79"/>
    <w:rsid w:val="00F622BF"/>
    <w:rsid w:val="00F62604"/>
    <w:rsid w:val="00F6307B"/>
    <w:rsid w:val="00F6464C"/>
    <w:rsid w:val="00F65026"/>
    <w:rsid w:val="00F65520"/>
    <w:rsid w:val="00F65DF5"/>
    <w:rsid w:val="00F66A3A"/>
    <w:rsid w:val="00F6776C"/>
    <w:rsid w:val="00F704B6"/>
    <w:rsid w:val="00F706F3"/>
    <w:rsid w:val="00F71680"/>
    <w:rsid w:val="00F71DDB"/>
    <w:rsid w:val="00F71E5E"/>
    <w:rsid w:val="00F726F2"/>
    <w:rsid w:val="00F72DA5"/>
    <w:rsid w:val="00F7399B"/>
    <w:rsid w:val="00F73DB5"/>
    <w:rsid w:val="00F74B7A"/>
    <w:rsid w:val="00F755B5"/>
    <w:rsid w:val="00F7584C"/>
    <w:rsid w:val="00F758D4"/>
    <w:rsid w:val="00F76DC5"/>
    <w:rsid w:val="00F76DE9"/>
    <w:rsid w:val="00F772AF"/>
    <w:rsid w:val="00F8043D"/>
    <w:rsid w:val="00F80D8B"/>
    <w:rsid w:val="00F8184B"/>
    <w:rsid w:val="00F81AE2"/>
    <w:rsid w:val="00F826E9"/>
    <w:rsid w:val="00F82781"/>
    <w:rsid w:val="00F82A2E"/>
    <w:rsid w:val="00F82D44"/>
    <w:rsid w:val="00F8320C"/>
    <w:rsid w:val="00F835B4"/>
    <w:rsid w:val="00F83CF9"/>
    <w:rsid w:val="00F841BD"/>
    <w:rsid w:val="00F8559A"/>
    <w:rsid w:val="00F8683C"/>
    <w:rsid w:val="00F87053"/>
    <w:rsid w:val="00F8762D"/>
    <w:rsid w:val="00F87874"/>
    <w:rsid w:val="00F87A1F"/>
    <w:rsid w:val="00F91A0F"/>
    <w:rsid w:val="00F92F26"/>
    <w:rsid w:val="00F937A6"/>
    <w:rsid w:val="00F95C19"/>
    <w:rsid w:val="00F95D2E"/>
    <w:rsid w:val="00F96398"/>
    <w:rsid w:val="00F96400"/>
    <w:rsid w:val="00F96774"/>
    <w:rsid w:val="00FA1977"/>
    <w:rsid w:val="00FA25A7"/>
    <w:rsid w:val="00FA324F"/>
    <w:rsid w:val="00FA3757"/>
    <w:rsid w:val="00FA513F"/>
    <w:rsid w:val="00FA56DC"/>
    <w:rsid w:val="00FA57E9"/>
    <w:rsid w:val="00FA6388"/>
    <w:rsid w:val="00FA6664"/>
    <w:rsid w:val="00FA7B76"/>
    <w:rsid w:val="00FB01BD"/>
    <w:rsid w:val="00FB08F7"/>
    <w:rsid w:val="00FB12A7"/>
    <w:rsid w:val="00FB1771"/>
    <w:rsid w:val="00FB1D17"/>
    <w:rsid w:val="00FB28BD"/>
    <w:rsid w:val="00FB2951"/>
    <w:rsid w:val="00FB29F5"/>
    <w:rsid w:val="00FB2FAC"/>
    <w:rsid w:val="00FB31A6"/>
    <w:rsid w:val="00FB3559"/>
    <w:rsid w:val="00FB3693"/>
    <w:rsid w:val="00FB3B2D"/>
    <w:rsid w:val="00FB5086"/>
    <w:rsid w:val="00FB60BF"/>
    <w:rsid w:val="00FB78F6"/>
    <w:rsid w:val="00FB7A92"/>
    <w:rsid w:val="00FC021A"/>
    <w:rsid w:val="00FC0830"/>
    <w:rsid w:val="00FC127F"/>
    <w:rsid w:val="00FC2F32"/>
    <w:rsid w:val="00FC40C3"/>
    <w:rsid w:val="00FC434C"/>
    <w:rsid w:val="00FC4D9F"/>
    <w:rsid w:val="00FC4E91"/>
    <w:rsid w:val="00FC51AB"/>
    <w:rsid w:val="00FC5804"/>
    <w:rsid w:val="00FC6567"/>
    <w:rsid w:val="00FC6C49"/>
    <w:rsid w:val="00FC6DCC"/>
    <w:rsid w:val="00FC6E8D"/>
    <w:rsid w:val="00FC7659"/>
    <w:rsid w:val="00FC7E1D"/>
    <w:rsid w:val="00FD094B"/>
    <w:rsid w:val="00FD0ACF"/>
    <w:rsid w:val="00FD114A"/>
    <w:rsid w:val="00FD1AAC"/>
    <w:rsid w:val="00FD20A5"/>
    <w:rsid w:val="00FD331C"/>
    <w:rsid w:val="00FD3889"/>
    <w:rsid w:val="00FD5EA5"/>
    <w:rsid w:val="00FD6ABB"/>
    <w:rsid w:val="00FD7DD5"/>
    <w:rsid w:val="00FD7F96"/>
    <w:rsid w:val="00FE0C70"/>
    <w:rsid w:val="00FE1EC6"/>
    <w:rsid w:val="00FE31CF"/>
    <w:rsid w:val="00FE3921"/>
    <w:rsid w:val="00FE393A"/>
    <w:rsid w:val="00FE4ED0"/>
    <w:rsid w:val="00FE5622"/>
    <w:rsid w:val="00FE6EFE"/>
    <w:rsid w:val="00FE742A"/>
    <w:rsid w:val="00FE755F"/>
    <w:rsid w:val="00FE7B59"/>
    <w:rsid w:val="00FF0B35"/>
    <w:rsid w:val="00FF0B3E"/>
    <w:rsid w:val="00FF16E2"/>
    <w:rsid w:val="00FF228F"/>
    <w:rsid w:val="00FF23AD"/>
    <w:rsid w:val="00FF2BBA"/>
    <w:rsid w:val="00FF39AE"/>
    <w:rsid w:val="00FF3A9A"/>
    <w:rsid w:val="00FF3D86"/>
    <w:rsid w:val="00FF4647"/>
    <w:rsid w:val="00FF477D"/>
    <w:rsid w:val="00FF4C41"/>
    <w:rsid w:val="00FF67A8"/>
    <w:rsid w:val="01D43618"/>
    <w:rsid w:val="03EA0674"/>
    <w:rsid w:val="05954347"/>
    <w:rsid w:val="05C479C1"/>
    <w:rsid w:val="060E31BF"/>
    <w:rsid w:val="072B0A14"/>
    <w:rsid w:val="07626988"/>
    <w:rsid w:val="0AB176CC"/>
    <w:rsid w:val="0B342799"/>
    <w:rsid w:val="0C587B81"/>
    <w:rsid w:val="0D774F56"/>
    <w:rsid w:val="0F130CAE"/>
    <w:rsid w:val="10A67331"/>
    <w:rsid w:val="11E8375B"/>
    <w:rsid w:val="15282606"/>
    <w:rsid w:val="1543286C"/>
    <w:rsid w:val="16FB0D84"/>
    <w:rsid w:val="18E917F8"/>
    <w:rsid w:val="19E361C6"/>
    <w:rsid w:val="1DB35163"/>
    <w:rsid w:val="1F9A4AD4"/>
    <w:rsid w:val="221A55CD"/>
    <w:rsid w:val="22C4786C"/>
    <w:rsid w:val="23C93E18"/>
    <w:rsid w:val="25115673"/>
    <w:rsid w:val="25EA7D53"/>
    <w:rsid w:val="266742E1"/>
    <w:rsid w:val="299D3FBF"/>
    <w:rsid w:val="2A373D10"/>
    <w:rsid w:val="2AFC471C"/>
    <w:rsid w:val="2B5E3CC9"/>
    <w:rsid w:val="2CA76FA0"/>
    <w:rsid w:val="2CB5387B"/>
    <w:rsid w:val="2CF92F74"/>
    <w:rsid w:val="2F6D5DB1"/>
    <w:rsid w:val="30DB70C0"/>
    <w:rsid w:val="322A5E22"/>
    <w:rsid w:val="332E2C9D"/>
    <w:rsid w:val="336D0705"/>
    <w:rsid w:val="35412B5B"/>
    <w:rsid w:val="39312666"/>
    <w:rsid w:val="39C05769"/>
    <w:rsid w:val="3CB13608"/>
    <w:rsid w:val="3D262FD6"/>
    <w:rsid w:val="3D3A31F5"/>
    <w:rsid w:val="43E55C58"/>
    <w:rsid w:val="46AE06B8"/>
    <w:rsid w:val="48EF3BC9"/>
    <w:rsid w:val="4E797498"/>
    <w:rsid w:val="4E7B3B9E"/>
    <w:rsid w:val="4ED35459"/>
    <w:rsid w:val="4F102EF6"/>
    <w:rsid w:val="52F432B4"/>
    <w:rsid w:val="54020364"/>
    <w:rsid w:val="547B3077"/>
    <w:rsid w:val="551108F0"/>
    <w:rsid w:val="559B131F"/>
    <w:rsid w:val="573532D1"/>
    <w:rsid w:val="593E5554"/>
    <w:rsid w:val="5ABF3ABF"/>
    <w:rsid w:val="5B776212"/>
    <w:rsid w:val="5C121F78"/>
    <w:rsid w:val="5C664A32"/>
    <w:rsid w:val="5DED7B61"/>
    <w:rsid w:val="5E7C09E5"/>
    <w:rsid w:val="5FEE5641"/>
    <w:rsid w:val="6261279F"/>
    <w:rsid w:val="633655FC"/>
    <w:rsid w:val="63D159C7"/>
    <w:rsid w:val="64034C79"/>
    <w:rsid w:val="65D54FA0"/>
    <w:rsid w:val="672E1BB9"/>
    <w:rsid w:val="683B008F"/>
    <w:rsid w:val="69D831B7"/>
    <w:rsid w:val="6BB74651"/>
    <w:rsid w:val="70124C88"/>
    <w:rsid w:val="7012648D"/>
    <w:rsid w:val="703B242C"/>
    <w:rsid w:val="709C4586"/>
    <w:rsid w:val="71F151E1"/>
    <w:rsid w:val="742E4EA8"/>
    <w:rsid w:val="746B1022"/>
    <w:rsid w:val="765338CB"/>
    <w:rsid w:val="76967D99"/>
    <w:rsid w:val="7A572D14"/>
    <w:rsid w:val="7A91194D"/>
    <w:rsid w:val="7BBE7B48"/>
    <w:rsid w:val="7DCB1408"/>
    <w:rsid w:val="7E1A52E1"/>
    <w:rsid w:val="7E461D30"/>
    <w:rsid w:val="7E885398"/>
    <w:rsid w:val="7F1518D2"/>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name="footnote text"/>
    <w:lsdException w:qFormat="1" w:unhideWhenUsed="0" w:uiPriority="99" w:semiHidden="0" w:name="annotation text"/>
    <w:lsdException w:qFormat="1" w:unhideWhenUsed="0" w:uiPriority="0" w:semiHidden="0" w:name="header"/>
    <w:lsdException w:qFormat="1" w:unhideWhenUsed="0" w:uiPriority="0" w:semiHidden="0" w:name="footer"/>
    <w:lsdException w:uiPriority="0" w:name="index heading"/>
    <w:lsdException w:qFormat="1" w:uiPriority="9" w:semiHidden="0" w:name="caption"/>
    <w:lsdException w:uiPriority="0" w:name="table of figures"/>
    <w:lsdException w:uiPriority="0" w:name="envelope address"/>
    <w:lsdException w:uiPriority="0" w:name="envelope return"/>
    <w:lsdException w:qFormat="1" w:unhideWhenUsed="0" w:uiPriority="0" w:name="footnote reference"/>
    <w:lsdException w:qFormat="1" w:unhideWhenUsed="0" w:uiPriority="99" w:name="annotation reference"/>
    <w:lsdException w:qFormat="1" w:unhideWhenUsed="0" w:uiPriority="99" w:name="line number"/>
    <w:lsdException w:qFormat="1" w:unhideWhenUsed="0" w:uiPriority="0" w:semiHidden="0" w:name="page number"/>
    <w:lsdException w:uiPriority="0" w:name="endnote reference"/>
    <w:lsdException w:uiPriority="0" w:name="endnote text"/>
    <w:lsdException w:unhideWhenUsed="0" w:uiPriority="0" w:name="table of authorities"/>
    <w:lsdException w:uiPriority="0" w:name="macro"/>
    <w:lsdException w:uiPriority="0" w:name="toa heading"/>
    <w:lsdException w:unhideWhenUsed="0" w:uiPriority="0" w:name="List"/>
    <w:lsdException w:unhideWhenUsed="0"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nhideWhenUsed="0" w:uiPriority="0" w:name="List Continue 2"/>
    <w:lsdException w:unhideWhenUsed="0" w:uiPriority="0" w:name="List Continue 3"/>
    <w:lsdException w:unhideWhenUsed="0" w:uiPriority="0" w:name="List Continue 4"/>
    <w:lsdException w:unhideWhenUsed="0" w:uiPriority="0" w:name="List Continue 5"/>
    <w:lsdException w:uiPriority="0" w:name="Message Header"/>
    <w:lsdException w:qFormat="1" w:unhideWhenUsed="0" w:uiPriority="0" w:semiHidden="0" w:name="Subtitle"/>
    <w:lsdException w:uiPriority="0" w:name="Salutation"/>
    <w:lsdException w:qFormat="1" w:unhideWhenUsed="0" w:uiPriority="0" w:name="Date"/>
    <w:lsdException w:qFormat="1" w:unhideWhenUsed="0" w:uiPriority="0" w:name="Body Text First Indent"/>
    <w:lsdException w:uiPriority="0" w:name="Body Text First Indent 2"/>
    <w:lsdException w:uiPriority="0" w:name="Note Heading"/>
    <w:lsdException w:uiPriority="0" w:name="Body Text 2"/>
    <w:lsdException w:uiPriority="0" w:name="Body Text 3"/>
    <w:lsdException w:qFormat="1" w:unhideWhenUsed="0" w:uiPriority="0" w:semiHidden="0" w:name="Body Text Indent 2"/>
    <w:lsdException w:qFormat="1" w:unhideWhenUsed="0" w:uiPriority="0" w:name="Body Text Indent 3"/>
    <w:lsdException w:uiPriority="0" w:name="Block Text"/>
    <w:lsdException w:qFormat="1" w:unhideWhenUsed="0" w:uiPriority="99" w:semiHidden="0" w:name="Hyperlink"/>
    <w:lsdException w:qFormat="1" w:unhideWhenUsed="0" w:uiPriority="99" w:name="FollowedHyperlink"/>
    <w:lsdException w:qFormat="1" w:unhideWhenUsed="0" w:uiPriority="22" w:semiHidden="0" w:name="Strong"/>
    <w:lsdException w:qFormat="1" w:unhideWhenUsed="0" w:uiPriority="0" w:semiHidden="0" w:name="Emphasis"/>
    <w:lsdException w:qFormat="1" w:unhideWhenUsed="0" w:uiPriority="99"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qFormat="1" w:uiPriority="99" w:semiHidden="0" w:name="HTML Cite"/>
    <w:lsdException w:uiPriority="0" w:name="HTML Code"/>
    <w:lsdException w:uiPriority="0" w:name="HTML Definition"/>
    <w:lsdException w:uiPriority="0" w:name="HTML Keyboard"/>
    <w:lsdException w:qFormat="1" w:unhideWhenUsed="0" w:uiPriority="99" w:semiHidden="0" w:name="HTML Preformatted"/>
    <w:lsdException w:uiPriority="0" w:name="HTML Sample"/>
    <w:lsdException w:uiPriority="0" w:name="HTML Typewriter"/>
    <w:lsdException w:uiPriority="0" w:name="HTML Variable"/>
    <w:lsdException w:qFormat="1" w:uiPriority="99" w:name="Normal Table"/>
    <w:lsdException w:qFormat="1" w:unhideWhenUsed="0" w:uiPriority="99"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qFormat="1"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宋体" w:cstheme="minorBidi"/>
      <w:kern w:val="2"/>
      <w:sz w:val="24"/>
      <w:szCs w:val="22"/>
      <w:lang w:val="en-US" w:eastAsia="zh-CN" w:bidi="ar-SA"/>
    </w:rPr>
  </w:style>
  <w:style w:type="paragraph" w:styleId="2">
    <w:name w:val="heading 1"/>
    <w:basedOn w:val="1"/>
    <w:next w:val="1"/>
    <w:link w:val="54"/>
    <w:qFormat/>
    <w:uiPriority w:val="0"/>
    <w:pPr>
      <w:numPr>
        <w:ilvl w:val="0"/>
        <w:numId w:val="1"/>
      </w:numPr>
      <w:spacing w:before="340" w:after="330"/>
      <w:ind w:firstLineChars="0"/>
      <w:jc w:val="center"/>
      <w:outlineLvl w:val="0"/>
    </w:pPr>
    <w:rPr>
      <w:rFonts w:eastAsia="黑体"/>
      <w:b/>
      <w:sz w:val="32"/>
    </w:rPr>
  </w:style>
  <w:style w:type="paragraph" w:styleId="3">
    <w:name w:val="heading 2"/>
    <w:basedOn w:val="4"/>
    <w:next w:val="1"/>
    <w:link w:val="55"/>
    <w:unhideWhenUsed/>
    <w:qFormat/>
    <w:uiPriority w:val="0"/>
    <w:pPr>
      <w:numPr>
        <w:ilvl w:val="1"/>
        <w:numId w:val="1"/>
      </w:numPr>
      <w:ind w:firstLineChars="0"/>
      <w:jc w:val="left"/>
      <w:outlineLvl w:val="1"/>
    </w:pPr>
    <w:rPr>
      <w:rFonts w:eastAsia="黑体"/>
      <w:b/>
      <w:sz w:val="30"/>
      <w:szCs w:val="30"/>
    </w:rPr>
  </w:style>
  <w:style w:type="paragraph" w:styleId="5">
    <w:name w:val="heading 3"/>
    <w:basedOn w:val="3"/>
    <w:next w:val="1"/>
    <w:link w:val="56"/>
    <w:unhideWhenUsed/>
    <w:qFormat/>
    <w:uiPriority w:val="0"/>
    <w:pPr>
      <w:numPr>
        <w:ilvl w:val="2"/>
      </w:numPr>
      <w:outlineLvl w:val="2"/>
    </w:pPr>
    <w:rPr>
      <w:rFonts w:eastAsia="楷体"/>
      <w:sz w:val="28"/>
    </w:rPr>
  </w:style>
  <w:style w:type="paragraph" w:styleId="6">
    <w:name w:val="heading 4"/>
    <w:basedOn w:val="7"/>
    <w:next w:val="1"/>
    <w:link w:val="57"/>
    <w:unhideWhenUsed/>
    <w:qFormat/>
    <w:uiPriority w:val="0"/>
    <w:pPr>
      <w:numPr>
        <w:ilvl w:val="3"/>
        <w:numId w:val="1"/>
      </w:numPr>
      <w:ind w:left="0" w:firstLineChars="0"/>
      <w:outlineLvl w:val="3"/>
    </w:pPr>
    <w:rPr>
      <w:rFonts w:cs="Times New Roman"/>
      <w:b/>
    </w:rPr>
  </w:style>
  <w:style w:type="paragraph" w:styleId="8">
    <w:name w:val="heading 5"/>
    <w:basedOn w:val="1"/>
    <w:next w:val="1"/>
    <w:link w:val="58"/>
    <w:unhideWhenUsed/>
    <w:qFormat/>
    <w:uiPriority w:val="0"/>
    <w:pPr>
      <w:numPr>
        <w:ilvl w:val="4"/>
        <w:numId w:val="1"/>
      </w:numPr>
      <w:ind w:left="0" w:firstLineChars="0"/>
      <w:outlineLvl w:val="4"/>
    </w:pPr>
    <w:rPr>
      <w:b/>
      <w:bCs/>
      <w:szCs w:val="28"/>
    </w:rPr>
  </w:style>
  <w:style w:type="paragraph" w:styleId="9">
    <w:name w:val="heading 6"/>
    <w:basedOn w:val="1"/>
    <w:next w:val="1"/>
    <w:link w:val="59"/>
    <w:qFormat/>
    <w:uiPriority w:val="0"/>
    <w:pPr>
      <w:keepNext/>
      <w:keepLines/>
      <w:spacing w:line="317" w:lineRule="auto"/>
      <w:outlineLvl w:val="5"/>
    </w:pPr>
    <w:rPr>
      <w:rFonts w:ascii="Arial" w:hAnsi="Arial" w:eastAsia="黑体"/>
      <w:b/>
    </w:rPr>
  </w:style>
  <w:style w:type="paragraph" w:styleId="10">
    <w:name w:val="heading 7"/>
    <w:basedOn w:val="1"/>
    <w:next w:val="1"/>
    <w:link w:val="60"/>
    <w:qFormat/>
    <w:uiPriority w:val="0"/>
    <w:pPr>
      <w:keepNext/>
      <w:keepLines/>
      <w:spacing w:line="317" w:lineRule="auto"/>
      <w:outlineLvl w:val="6"/>
    </w:pPr>
    <w:rPr>
      <w:b/>
    </w:rPr>
  </w:style>
  <w:style w:type="paragraph" w:styleId="11">
    <w:name w:val="heading 8"/>
    <w:basedOn w:val="1"/>
    <w:next w:val="1"/>
    <w:link w:val="61"/>
    <w:qFormat/>
    <w:uiPriority w:val="0"/>
    <w:pPr>
      <w:keepNext/>
      <w:keepLines/>
      <w:spacing w:line="317" w:lineRule="auto"/>
      <w:outlineLvl w:val="7"/>
    </w:pPr>
    <w:rPr>
      <w:rFonts w:ascii="Arial" w:hAnsi="Arial" w:eastAsia="黑体"/>
    </w:rPr>
  </w:style>
  <w:style w:type="paragraph" w:styleId="12">
    <w:name w:val="heading 9"/>
    <w:basedOn w:val="1"/>
    <w:next w:val="1"/>
    <w:link w:val="62"/>
    <w:qFormat/>
    <w:uiPriority w:val="0"/>
    <w:pPr>
      <w:keepNext/>
      <w:keepLines/>
      <w:spacing w:line="317" w:lineRule="auto"/>
      <w:outlineLvl w:val="8"/>
    </w:pPr>
    <w:rPr>
      <w:rFonts w:ascii="Arial" w:hAnsi="Arial" w:eastAsia="黑体"/>
      <w:sz w:val="21"/>
    </w:rPr>
  </w:style>
  <w:style w:type="character" w:default="1" w:styleId="44">
    <w:name w:val="Default Paragraph Font"/>
    <w:semiHidden/>
    <w:unhideWhenUsed/>
    <w:qFormat/>
    <w:uiPriority w:val="1"/>
  </w:style>
  <w:style w:type="table" w:default="1" w:styleId="42">
    <w:name w:val="Normal Table"/>
    <w:semiHidden/>
    <w:unhideWhenUsed/>
    <w:qFormat/>
    <w:uiPriority w:val="99"/>
    <w:tblPr>
      <w:tblCellMar>
        <w:top w:w="0" w:type="dxa"/>
        <w:left w:w="108" w:type="dxa"/>
        <w:bottom w:w="0" w:type="dxa"/>
        <w:right w:w="108" w:type="dxa"/>
      </w:tblCellMar>
    </w:tblPr>
  </w:style>
  <w:style w:type="paragraph" w:customStyle="1" w:styleId="4">
    <w:name w:val="列表段落1"/>
    <w:basedOn w:val="1"/>
    <w:qFormat/>
    <w:uiPriority w:val="34"/>
    <w:pPr>
      <w:ind w:firstLine="420"/>
    </w:pPr>
  </w:style>
  <w:style w:type="paragraph" w:customStyle="1" w:styleId="7">
    <w:name w:val="列出段落1"/>
    <w:basedOn w:val="1"/>
    <w:qFormat/>
    <w:uiPriority w:val="0"/>
    <w:pPr>
      <w:ind w:firstLine="420"/>
    </w:pPr>
  </w:style>
  <w:style w:type="paragraph" w:styleId="13">
    <w:name w:val="toc 7"/>
    <w:basedOn w:val="1"/>
    <w:next w:val="1"/>
    <w:qFormat/>
    <w:uiPriority w:val="39"/>
    <w:pPr>
      <w:spacing w:line="240" w:lineRule="auto"/>
      <w:ind w:left="2520" w:leftChars="1200" w:firstLine="0" w:firstLineChars="0"/>
    </w:pPr>
    <w:rPr>
      <w:rFonts w:asciiTheme="minorHAnsi" w:hAnsiTheme="minorHAnsi" w:eastAsiaTheme="minorEastAsia"/>
      <w:sz w:val="21"/>
    </w:rPr>
  </w:style>
  <w:style w:type="paragraph" w:styleId="14">
    <w:name w:val="Normal Indent"/>
    <w:basedOn w:val="1"/>
    <w:link w:val="275"/>
    <w:qFormat/>
    <w:uiPriority w:val="0"/>
    <w:pPr>
      <w:ind w:firstLine="420"/>
    </w:pPr>
  </w:style>
  <w:style w:type="paragraph" w:styleId="15">
    <w:name w:val="caption"/>
    <w:basedOn w:val="1"/>
    <w:next w:val="1"/>
    <w:unhideWhenUsed/>
    <w:qFormat/>
    <w:uiPriority w:val="9"/>
    <w:pPr>
      <w:keepNext/>
      <w:spacing w:beforeLines="50" w:afterLines="50" w:line="240" w:lineRule="auto"/>
      <w:ind w:firstLine="0" w:firstLineChars="0"/>
      <w:jc w:val="center"/>
    </w:pPr>
    <w:rPr>
      <w:rFonts w:eastAsia="黑体" w:cstheme="majorBidi"/>
      <w:b/>
      <w:sz w:val="21"/>
      <w:szCs w:val="21"/>
    </w:rPr>
  </w:style>
  <w:style w:type="paragraph" w:styleId="16">
    <w:name w:val="Document Map"/>
    <w:basedOn w:val="1"/>
    <w:link w:val="67"/>
    <w:semiHidden/>
    <w:qFormat/>
    <w:uiPriority w:val="99"/>
    <w:pPr>
      <w:spacing w:line="240" w:lineRule="auto"/>
      <w:ind w:firstLine="0" w:firstLineChars="0"/>
    </w:pPr>
    <w:rPr>
      <w:rFonts w:ascii="宋体" w:hAnsiTheme="minorHAnsi"/>
      <w:sz w:val="18"/>
      <w:szCs w:val="18"/>
    </w:rPr>
  </w:style>
  <w:style w:type="paragraph" w:styleId="17">
    <w:name w:val="annotation text"/>
    <w:basedOn w:val="1"/>
    <w:link w:val="63"/>
    <w:qFormat/>
    <w:uiPriority w:val="99"/>
    <w:pPr>
      <w:jc w:val="left"/>
    </w:pPr>
  </w:style>
  <w:style w:type="paragraph" w:styleId="18">
    <w:name w:val="Body Text"/>
    <w:basedOn w:val="1"/>
    <w:link w:val="65"/>
    <w:qFormat/>
    <w:uiPriority w:val="0"/>
    <w:pPr>
      <w:spacing w:after="120"/>
    </w:pPr>
  </w:style>
  <w:style w:type="paragraph" w:styleId="19">
    <w:name w:val="Body Text Indent"/>
    <w:basedOn w:val="1"/>
    <w:link w:val="68"/>
    <w:qFormat/>
    <w:uiPriority w:val="0"/>
    <w:pPr>
      <w:spacing w:line="240" w:lineRule="auto"/>
      <w:ind w:firstLine="560"/>
    </w:pPr>
    <w:rPr>
      <w:rFonts w:cs="Times New Roman"/>
      <w:kern w:val="0"/>
      <w:sz w:val="28"/>
      <w:szCs w:val="28"/>
    </w:rPr>
  </w:style>
  <w:style w:type="paragraph" w:styleId="20">
    <w:name w:val="toc 5"/>
    <w:basedOn w:val="1"/>
    <w:next w:val="1"/>
    <w:qFormat/>
    <w:uiPriority w:val="39"/>
    <w:pPr>
      <w:spacing w:line="240" w:lineRule="auto"/>
      <w:ind w:left="1680" w:leftChars="800" w:firstLine="0" w:firstLineChars="0"/>
    </w:pPr>
    <w:rPr>
      <w:rFonts w:asciiTheme="minorHAnsi" w:hAnsiTheme="minorHAnsi" w:eastAsiaTheme="minorEastAsia"/>
      <w:sz w:val="21"/>
    </w:rPr>
  </w:style>
  <w:style w:type="paragraph" w:styleId="21">
    <w:name w:val="toc 3"/>
    <w:basedOn w:val="1"/>
    <w:next w:val="1"/>
    <w:qFormat/>
    <w:uiPriority w:val="39"/>
    <w:pPr>
      <w:ind w:left="400" w:leftChars="400" w:firstLine="0" w:firstLineChars="0"/>
    </w:pPr>
  </w:style>
  <w:style w:type="paragraph" w:styleId="22">
    <w:name w:val="Plain Text"/>
    <w:basedOn w:val="1"/>
    <w:link w:val="69"/>
    <w:qFormat/>
    <w:uiPriority w:val="0"/>
    <w:pPr>
      <w:jc w:val="left"/>
    </w:pPr>
    <w:rPr>
      <w:rFonts w:ascii="宋体" w:hAnsi="Courier New" w:cs="Times New Roman"/>
      <w:szCs w:val="20"/>
    </w:rPr>
  </w:style>
  <w:style w:type="paragraph" w:styleId="23">
    <w:name w:val="toc 8"/>
    <w:basedOn w:val="1"/>
    <w:next w:val="1"/>
    <w:qFormat/>
    <w:uiPriority w:val="39"/>
    <w:pPr>
      <w:spacing w:line="240" w:lineRule="auto"/>
      <w:ind w:left="2940" w:leftChars="1400" w:firstLine="0" w:firstLineChars="0"/>
    </w:pPr>
    <w:rPr>
      <w:rFonts w:asciiTheme="minorHAnsi" w:hAnsiTheme="minorHAnsi" w:eastAsiaTheme="minorEastAsia"/>
      <w:sz w:val="21"/>
    </w:rPr>
  </w:style>
  <w:style w:type="paragraph" w:styleId="24">
    <w:name w:val="Date"/>
    <w:basedOn w:val="1"/>
    <w:next w:val="1"/>
    <w:link w:val="70"/>
    <w:semiHidden/>
    <w:qFormat/>
    <w:uiPriority w:val="0"/>
    <w:pPr>
      <w:ind w:left="100" w:leftChars="2500"/>
    </w:pPr>
  </w:style>
  <w:style w:type="paragraph" w:styleId="25">
    <w:name w:val="Body Text Indent 2"/>
    <w:basedOn w:val="1"/>
    <w:link w:val="71"/>
    <w:qFormat/>
    <w:uiPriority w:val="0"/>
    <w:pPr>
      <w:spacing w:line="480" w:lineRule="auto"/>
      <w:ind w:left="420" w:leftChars="200"/>
    </w:pPr>
  </w:style>
  <w:style w:type="paragraph" w:styleId="26">
    <w:name w:val="Balloon Text"/>
    <w:basedOn w:val="1"/>
    <w:link w:val="72"/>
    <w:semiHidden/>
    <w:qFormat/>
    <w:uiPriority w:val="0"/>
    <w:pPr>
      <w:spacing w:line="240" w:lineRule="auto"/>
    </w:pPr>
    <w:rPr>
      <w:sz w:val="18"/>
      <w:szCs w:val="18"/>
    </w:rPr>
  </w:style>
  <w:style w:type="paragraph" w:styleId="27">
    <w:name w:val="footer"/>
    <w:basedOn w:val="1"/>
    <w:link w:val="73"/>
    <w:qFormat/>
    <w:uiPriority w:val="0"/>
    <w:pPr>
      <w:tabs>
        <w:tab w:val="center" w:pos="4153"/>
        <w:tab w:val="right" w:pos="8306"/>
      </w:tabs>
      <w:snapToGrid w:val="0"/>
      <w:spacing w:line="240" w:lineRule="auto"/>
      <w:jc w:val="left"/>
    </w:pPr>
    <w:rPr>
      <w:sz w:val="18"/>
      <w:szCs w:val="18"/>
    </w:rPr>
  </w:style>
  <w:style w:type="paragraph" w:styleId="28">
    <w:name w:val="header"/>
    <w:basedOn w:val="1"/>
    <w:link w:val="74"/>
    <w:qFormat/>
    <w:uiPriority w:val="0"/>
    <w:pPr>
      <w:pBdr>
        <w:bottom w:val="single" w:color="auto" w:sz="6" w:space="1"/>
      </w:pBdr>
      <w:tabs>
        <w:tab w:val="center" w:pos="4153"/>
        <w:tab w:val="right" w:pos="8306"/>
      </w:tabs>
      <w:snapToGrid w:val="0"/>
      <w:spacing w:line="240" w:lineRule="auto"/>
      <w:jc w:val="center"/>
    </w:pPr>
    <w:rPr>
      <w:sz w:val="18"/>
      <w:szCs w:val="18"/>
    </w:rPr>
  </w:style>
  <w:style w:type="paragraph" w:styleId="29">
    <w:name w:val="toc 1"/>
    <w:basedOn w:val="1"/>
    <w:next w:val="1"/>
    <w:qFormat/>
    <w:uiPriority w:val="39"/>
    <w:pPr>
      <w:tabs>
        <w:tab w:val="right" w:leader="dot" w:pos="8302"/>
      </w:tabs>
      <w:spacing w:line="560" w:lineRule="exact"/>
      <w:ind w:firstLine="0" w:firstLineChars="0"/>
      <w:jc w:val="left"/>
    </w:pPr>
  </w:style>
  <w:style w:type="paragraph" w:styleId="30">
    <w:name w:val="toc 4"/>
    <w:basedOn w:val="1"/>
    <w:next w:val="1"/>
    <w:qFormat/>
    <w:uiPriority w:val="39"/>
    <w:pPr>
      <w:spacing w:line="240" w:lineRule="auto"/>
      <w:ind w:left="1260" w:leftChars="600" w:firstLine="0" w:firstLineChars="0"/>
    </w:pPr>
    <w:rPr>
      <w:rFonts w:asciiTheme="minorHAnsi" w:hAnsiTheme="minorHAnsi" w:eastAsiaTheme="minorEastAsia"/>
      <w:sz w:val="21"/>
    </w:rPr>
  </w:style>
  <w:style w:type="paragraph" w:styleId="31">
    <w:name w:val="Subtitle"/>
    <w:basedOn w:val="1"/>
    <w:next w:val="1"/>
    <w:link w:val="75"/>
    <w:qFormat/>
    <w:uiPriority w:val="0"/>
    <w:pPr>
      <w:spacing w:before="240" w:after="60" w:line="312" w:lineRule="auto"/>
      <w:ind w:firstLine="0" w:firstLineChars="0"/>
      <w:jc w:val="center"/>
      <w:outlineLvl w:val="1"/>
    </w:pPr>
    <w:rPr>
      <w:rFonts w:ascii="Cambria" w:hAnsi="Cambria" w:cs="Times New Roman"/>
      <w:b/>
      <w:bCs/>
      <w:kern w:val="28"/>
      <w:sz w:val="32"/>
      <w:szCs w:val="32"/>
      <w:lang w:val="zh-CN"/>
    </w:rPr>
  </w:style>
  <w:style w:type="paragraph" w:styleId="32">
    <w:name w:val="footnote text"/>
    <w:basedOn w:val="1"/>
    <w:link w:val="76"/>
    <w:semiHidden/>
    <w:qFormat/>
    <w:uiPriority w:val="0"/>
    <w:pPr>
      <w:snapToGrid w:val="0"/>
      <w:jc w:val="left"/>
    </w:pPr>
    <w:rPr>
      <w:sz w:val="18"/>
      <w:szCs w:val="18"/>
    </w:rPr>
  </w:style>
  <w:style w:type="paragraph" w:styleId="33">
    <w:name w:val="toc 6"/>
    <w:basedOn w:val="1"/>
    <w:next w:val="1"/>
    <w:qFormat/>
    <w:uiPriority w:val="39"/>
    <w:pPr>
      <w:spacing w:line="240" w:lineRule="auto"/>
      <w:ind w:left="2100" w:leftChars="1000" w:firstLine="0" w:firstLineChars="0"/>
    </w:pPr>
    <w:rPr>
      <w:rFonts w:asciiTheme="minorHAnsi" w:hAnsiTheme="minorHAnsi" w:eastAsiaTheme="minorEastAsia"/>
      <w:sz w:val="21"/>
    </w:rPr>
  </w:style>
  <w:style w:type="paragraph" w:styleId="34">
    <w:name w:val="Body Text Indent 3"/>
    <w:basedOn w:val="1"/>
    <w:link w:val="77"/>
    <w:semiHidden/>
    <w:qFormat/>
    <w:uiPriority w:val="0"/>
    <w:pPr>
      <w:ind w:left="420" w:leftChars="200"/>
    </w:pPr>
    <w:rPr>
      <w:sz w:val="16"/>
    </w:rPr>
  </w:style>
  <w:style w:type="paragraph" w:styleId="35">
    <w:name w:val="toc 2"/>
    <w:basedOn w:val="1"/>
    <w:next w:val="1"/>
    <w:qFormat/>
    <w:uiPriority w:val="39"/>
    <w:pPr>
      <w:ind w:left="200" w:leftChars="200" w:firstLine="0" w:firstLineChars="0"/>
    </w:pPr>
  </w:style>
  <w:style w:type="paragraph" w:styleId="36">
    <w:name w:val="toc 9"/>
    <w:basedOn w:val="1"/>
    <w:next w:val="1"/>
    <w:qFormat/>
    <w:uiPriority w:val="39"/>
    <w:pPr>
      <w:spacing w:line="240" w:lineRule="auto"/>
      <w:ind w:left="3360" w:leftChars="1600" w:firstLine="0" w:firstLineChars="0"/>
    </w:pPr>
    <w:rPr>
      <w:rFonts w:asciiTheme="minorHAnsi" w:hAnsiTheme="minorHAnsi" w:eastAsiaTheme="minorEastAsia"/>
      <w:sz w:val="21"/>
    </w:rPr>
  </w:style>
  <w:style w:type="paragraph" w:styleId="37">
    <w:name w:val="HTML Preformatted"/>
    <w:basedOn w:val="1"/>
    <w:link w:val="78"/>
    <w:qFormat/>
    <w:uiPriority w:val="99"/>
    <w:rPr>
      <w:rFonts w:ascii="Courier New" w:hAnsi="Courier New"/>
      <w:sz w:val="20"/>
    </w:rPr>
  </w:style>
  <w:style w:type="paragraph" w:styleId="38">
    <w:name w:val="Normal (Web)"/>
    <w:basedOn w:val="1"/>
    <w:qFormat/>
    <w:uiPriority w:val="99"/>
  </w:style>
  <w:style w:type="paragraph" w:styleId="39">
    <w:name w:val="Title"/>
    <w:basedOn w:val="1"/>
    <w:next w:val="1"/>
    <w:link w:val="79"/>
    <w:qFormat/>
    <w:uiPriority w:val="0"/>
    <w:pPr>
      <w:spacing w:before="240" w:after="60" w:line="240" w:lineRule="auto"/>
      <w:ind w:firstLine="0" w:firstLineChars="0"/>
      <w:jc w:val="center"/>
      <w:outlineLvl w:val="0"/>
    </w:pPr>
    <w:rPr>
      <w:rFonts w:ascii="Cambria" w:hAnsi="Cambria" w:cs="Times New Roman"/>
      <w:b/>
      <w:bCs/>
      <w:sz w:val="32"/>
      <w:szCs w:val="32"/>
      <w:lang w:val="zh-CN"/>
    </w:rPr>
  </w:style>
  <w:style w:type="paragraph" w:styleId="40">
    <w:name w:val="annotation subject"/>
    <w:basedOn w:val="17"/>
    <w:next w:val="17"/>
    <w:link w:val="64"/>
    <w:semiHidden/>
    <w:qFormat/>
    <w:uiPriority w:val="99"/>
    <w:rPr>
      <w:b/>
      <w:bCs/>
    </w:rPr>
  </w:style>
  <w:style w:type="paragraph" w:styleId="41">
    <w:name w:val="Body Text First Indent"/>
    <w:basedOn w:val="18"/>
    <w:link w:val="66"/>
    <w:semiHidden/>
    <w:qFormat/>
    <w:uiPriority w:val="0"/>
    <w:pPr>
      <w:ind w:firstLine="420" w:firstLineChars="100"/>
    </w:pPr>
    <w:rPr>
      <w:rFonts w:cs="Times New Roman"/>
      <w:sz w:val="21"/>
      <w:szCs w:val="24"/>
    </w:rPr>
  </w:style>
  <w:style w:type="table" w:styleId="43">
    <w:name w:val="Table Grid"/>
    <w:basedOn w:val="42"/>
    <w:qFormat/>
    <w:uiPriority w:val="0"/>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5">
    <w:name w:val="Strong"/>
    <w:qFormat/>
    <w:uiPriority w:val="22"/>
    <w:rPr>
      <w:b/>
      <w:bCs/>
    </w:rPr>
  </w:style>
  <w:style w:type="character" w:styleId="46">
    <w:name w:val="page number"/>
    <w:basedOn w:val="44"/>
    <w:qFormat/>
    <w:uiPriority w:val="0"/>
  </w:style>
  <w:style w:type="character" w:styleId="47">
    <w:name w:val="FollowedHyperlink"/>
    <w:basedOn w:val="44"/>
    <w:semiHidden/>
    <w:qFormat/>
    <w:uiPriority w:val="99"/>
    <w:rPr>
      <w:color w:val="800080"/>
      <w:u w:val="single"/>
    </w:rPr>
  </w:style>
  <w:style w:type="character" w:styleId="48">
    <w:name w:val="Emphasis"/>
    <w:qFormat/>
    <w:uiPriority w:val="0"/>
    <w:rPr>
      <w:i/>
      <w:iCs/>
    </w:rPr>
  </w:style>
  <w:style w:type="character" w:styleId="49">
    <w:name w:val="line number"/>
    <w:basedOn w:val="44"/>
    <w:semiHidden/>
    <w:qFormat/>
    <w:uiPriority w:val="99"/>
  </w:style>
  <w:style w:type="character" w:styleId="50">
    <w:name w:val="Hyperlink"/>
    <w:basedOn w:val="44"/>
    <w:qFormat/>
    <w:uiPriority w:val="99"/>
    <w:rPr>
      <w:color w:val="0563C1" w:themeColor="hyperlink"/>
      <w:u w:val="single"/>
      <w14:textFill>
        <w14:solidFill>
          <w14:schemeClr w14:val="hlink"/>
        </w14:solidFill>
      </w14:textFill>
    </w:rPr>
  </w:style>
  <w:style w:type="character" w:styleId="51">
    <w:name w:val="annotation reference"/>
    <w:basedOn w:val="44"/>
    <w:semiHidden/>
    <w:qFormat/>
    <w:uiPriority w:val="99"/>
    <w:rPr>
      <w:sz w:val="21"/>
      <w:szCs w:val="21"/>
    </w:rPr>
  </w:style>
  <w:style w:type="character" w:styleId="52">
    <w:name w:val="HTML Cite"/>
    <w:unhideWhenUsed/>
    <w:qFormat/>
    <w:uiPriority w:val="99"/>
    <w:rPr>
      <w:color w:val="008000"/>
    </w:rPr>
  </w:style>
  <w:style w:type="character" w:styleId="53">
    <w:name w:val="footnote reference"/>
    <w:basedOn w:val="44"/>
    <w:semiHidden/>
    <w:qFormat/>
    <w:uiPriority w:val="0"/>
    <w:rPr>
      <w:vertAlign w:val="superscript"/>
    </w:rPr>
  </w:style>
  <w:style w:type="character" w:customStyle="1" w:styleId="54">
    <w:name w:val="标题 1 字符1"/>
    <w:basedOn w:val="44"/>
    <w:link w:val="2"/>
    <w:qFormat/>
    <w:uiPriority w:val="0"/>
    <w:rPr>
      <w:rFonts w:eastAsia="黑体" w:cstheme="minorBidi"/>
      <w:b/>
      <w:kern w:val="2"/>
      <w:sz w:val="32"/>
      <w:szCs w:val="22"/>
    </w:rPr>
  </w:style>
  <w:style w:type="character" w:customStyle="1" w:styleId="55">
    <w:name w:val="标题 2 字符1"/>
    <w:basedOn w:val="44"/>
    <w:link w:val="3"/>
    <w:qFormat/>
    <w:uiPriority w:val="0"/>
    <w:rPr>
      <w:rFonts w:eastAsia="黑体" w:cstheme="minorBidi"/>
      <w:b/>
      <w:kern w:val="2"/>
      <w:sz w:val="30"/>
      <w:szCs w:val="30"/>
    </w:rPr>
  </w:style>
  <w:style w:type="character" w:customStyle="1" w:styleId="56">
    <w:name w:val="标题 3 字符1"/>
    <w:basedOn w:val="44"/>
    <w:link w:val="5"/>
    <w:qFormat/>
    <w:uiPriority w:val="0"/>
    <w:rPr>
      <w:rFonts w:eastAsia="楷体" w:cstheme="minorBidi"/>
      <w:b/>
      <w:kern w:val="2"/>
      <w:sz w:val="28"/>
      <w:szCs w:val="30"/>
    </w:rPr>
  </w:style>
  <w:style w:type="character" w:customStyle="1" w:styleId="57">
    <w:name w:val="标题 4 字符1"/>
    <w:basedOn w:val="44"/>
    <w:link w:val="6"/>
    <w:qFormat/>
    <w:uiPriority w:val="0"/>
    <w:rPr>
      <w:b/>
      <w:kern w:val="2"/>
      <w:sz w:val="24"/>
      <w:szCs w:val="22"/>
    </w:rPr>
  </w:style>
  <w:style w:type="character" w:customStyle="1" w:styleId="58">
    <w:name w:val="标题 5 字符1"/>
    <w:basedOn w:val="44"/>
    <w:link w:val="8"/>
    <w:qFormat/>
    <w:uiPriority w:val="0"/>
    <w:rPr>
      <w:rFonts w:cstheme="minorBidi"/>
      <w:b/>
      <w:bCs/>
      <w:kern w:val="2"/>
      <w:sz w:val="24"/>
      <w:szCs w:val="28"/>
    </w:rPr>
  </w:style>
  <w:style w:type="character" w:customStyle="1" w:styleId="59">
    <w:name w:val="标题 6 字符1"/>
    <w:basedOn w:val="44"/>
    <w:link w:val="9"/>
    <w:qFormat/>
    <w:uiPriority w:val="0"/>
    <w:rPr>
      <w:rFonts w:ascii="Arial" w:hAnsi="Arial" w:eastAsia="黑体" w:cstheme="minorBidi"/>
      <w:b/>
      <w:kern w:val="2"/>
      <w:sz w:val="24"/>
      <w:szCs w:val="22"/>
    </w:rPr>
  </w:style>
  <w:style w:type="character" w:customStyle="1" w:styleId="60">
    <w:name w:val="标题 7 字符1"/>
    <w:basedOn w:val="44"/>
    <w:link w:val="10"/>
    <w:qFormat/>
    <w:uiPriority w:val="0"/>
    <w:rPr>
      <w:rFonts w:cstheme="minorBidi"/>
      <w:b/>
      <w:kern w:val="2"/>
      <w:sz w:val="24"/>
      <w:szCs w:val="22"/>
    </w:rPr>
  </w:style>
  <w:style w:type="character" w:customStyle="1" w:styleId="61">
    <w:name w:val="标题 8 字符1"/>
    <w:basedOn w:val="44"/>
    <w:link w:val="11"/>
    <w:qFormat/>
    <w:uiPriority w:val="0"/>
    <w:rPr>
      <w:rFonts w:ascii="Arial" w:hAnsi="Arial" w:eastAsia="黑体" w:cstheme="minorBidi"/>
      <w:kern w:val="2"/>
      <w:sz w:val="24"/>
      <w:szCs w:val="22"/>
    </w:rPr>
  </w:style>
  <w:style w:type="character" w:customStyle="1" w:styleId="62">
    <w:name w:val="标题 9 字符2"/>
    <w:basedOn w:val="44"/>
    <w:link w:val="12"/>
    <w:qFormat/>
    <w:uiPriority w:val="9"/>
    <w:rPr>
      <w:rFonts w:ascii="Arial" w:hAnsi="Arial" w:eastAsia="黑体" w:cstheme="minorBidi"/>
      <w:kern w:val="2"/>
      <w:sz w:val="21"/>
      <w:szCs w:val="22"/>
    </w:rPr>
  </w:style>
  <w:style w:type="character" w:customStyle="1" w:styleId="63">
    <w:name w:val="批注文字 字符1"/>
    <w:basedOn w:val="44"/>
    <w:link w:val="17"/>
    <w:qFormat/>
    <w:uiPriority w:val="99"/>
    <w:rPr>
      <w:rFonts w:cstheme="minorBidi"/>
      <w:kern w:val="2"/>
      <w:sz w:val="24"/>
      <w:szCs w:val="22"/>
    </w:rPr>
  </w:style>
  <w:style w:type="character" w:customStyle="1" w:styleId="64">
    <w:name w:val="批注主题 字符"/>
    <w:basedOn w:val="63"/>
    <w:link w:val="40"/>
    <w:semiHidden/>
    <w:qFormat/>
    <w:uiPriority w:val="99"/>
    <w:rPr>
      <w:rFonts w:cstheme="minorBidi"/>
      <w:b/>
      <w:bCs/>
      <w:kern w:val="2"/>
      <w:sz w:val="24"/>
      <w:szCs w:val="22"/>
    </w:rPr>
  </w:style>
  <w:style w:type="character" w:customStyle="1" w:styleId="65">
    <w:name w:val="正文文本 字符1"/>
    <w:basedOn w:val="44"/>
    <w:link w:val="18"/>
    <w:qFormat/>
    <w:uiPriority w:val="0"/>
    <w:rPr>
      <w:rFonts w:cstheme="minorBidi"/>
      <w:kern w:val="2"/>
      <w:sz w:val="24"/>
      <w:szCs w:val="22"/>
    </w:rPr>
  </w:style>
  <w:style w:type="character" w:customStyle="1" w:styleId="66">
    <w:name w:val="正文文本首行缩进 字符"/>
    <w:basedOn w:val="65"/>
    <w:link w:val="41"/>
    <w:semiHidden/>
    <w:qFormat/>
    <w:uiPriority w:val="0"/>
    <w:rPr>
      <w:rFonts w:cstheme="minorBidi"/>
      <w:kern w:val="2"/>
      <w:sz w:val="21"/>
      <w:szCs w:val="24"/>
    </w:rPr>
  </w:style>
  <w:style w:type="character" w:customStyle="1" w:styleId="67">
    <w:name w:val="文档结构图 字符2"/>
    <w:basedOn w:val="44"/>
    <w:link w:val="16"/>
    <w:semiHidden/>
    <w:qFormat/>
    <w:uiPriority w:val="99"/>
    <w:rPr>
      <w:rFonts w:ascii="宋体" w:hAnsiTheme="minorHAnsi" w:cstheme="minorBidi"/>
      <w:kern w:val="2"/>
      <w:sz w:val="18"/>
      <w:szCs w:val="18"/>
    </w:rPr>
  </w:style>
  <w:style w:type="character" w:customStyle="1" w:styleId="68">
    <w:name w:val="正文文本缩进 字符1"/>
    <w:link w:val="19"/>
    <w:qFormat/>
    <w:uiPriority w:val="99"/>
    <w:rPr>
      <w:sz w:val="28"/>
      <w:szCs w:val="28"/>
    </w:rPr>
  </w:style>
  <w:style w:type="character" w:customStyle="1" w:styleId="69">
    <w:name w:val="纯文本 字符1"/>
    <w:basedOn w:val="44"/>
    <w:link w:val="22"/>
    <w:qFormat/>
    <w:uiPriority w:val="0"/>
    <w:rPr>
      <w:rFonts w:ascii="宋体" w:hAnsi="Courier New"/>
      <w:kern w:val="2"/>
      <w:sz w:val="24"/>
    </w:rPr>
  </w:style>
  <w:style w:type="character" w:customStyle="1" w:styleId="70">
    <w:name w:val="日期 字符1"/>
    <w:basedOn w:val="44"/>
    <w:link w:val="24"/>
    <w:semiHidden/>
    <w:qFormat/>
    <w:uiPriority w:val="0"/>
    <w:rPr>
      <w:rFonts w:cstheme="minorBidi"/>
      <w:kern w:val="2"/>
      <w:sz w:val="24"/>
      <w:szCs w:val="22"/>
    </w:rPr>
  </w:style>
  <w:style w:type="character" w:customStyle="1" w:styleId="71">
    <w:name w:val="正文文本缩进 2 字符2"/>
    <w:basedOn w:val="44"/>
    <w:link w:val="25"/>
    <w:qFormat/>
    <w:uiPriority w:val="99"/>
    <w:rPr>
      <w:rFonts w:cstheme="minorBidi"/>
      <w:kern w:val="2"/>
      <w:sz w:val="24"/>
      <w:szCs w:val="22"/>
    </w:rPr>
  </w:style>
  <w:style w:type="character" w:customStyle="1" w:styleId="72">
    <w:name w:val="批注框文本 字符2"/>
    <w:basedOn w:val="44"/>
    <w:link w:val="26"/>
    <w:semiHidden/>
    <w:qFormat/>
    <w:uiPriority w:val="0"/>
    <w:rPr>
      <w:rFonts w:cstheme="minorBidi"/>
      <w:kern w:val="2"/>
      <w:sz w:val="18"/>
      <w:szCs w:val="18"/>
    </w:rPr>
  </w:style>
  <w:style w:type="character" w:customStyle="1" w:styleId="73">
    <w:name w:val="页脚 字符1"/>
    <w:basedOn w:val="44"/>
    <w:link w:val="27"/>
    <w:qFormat/>
    <w:uiPriority w:val="99"/>
    <w:rPr>
      <w:rFonts w:cstheme="minorBidi"/>
      <w:kern w:val="2"/>
      <w:sz w:val="18"/>
      <w:szCs w:val="18"/>
    </w:rPr>
  </w:style>
  <w:style w:type="character" w:customStyle="1" w:styleId="74">
    <w:name w:val="页眉 字符1"/>
    <w:basedOn w:val="44"/>
    <w:link w:val="28"/>
    <w:qFormat/>
    <w:uiPriority w:val="99"/>
    <w:rPr>
      <w:rFonts w:cstheme="minorBidi"/>
      <w:kern w:val="2"/>
      <w:sz w:val="18"/>
      <w:szCs w:val="18"/>
    </w:rPr>
  </w:style>
  <w:style w:type="character" w:customStyle="1" w:styleId="75">
    <w:name w:val="副标题 字符1"/>
    <w:link w:val="31"/>
    <w:qFormat/>
    <w:uiPriority w:val="11"/>
    <w:rPr>
      <w:rFonts w:ascii="Cambria" w:hAnsi="Cambria"/>
      <w:b/>
      <w:bCs/>
      <w:kern w:val="28"/>
      <w:sz w:val="32"/>
      <w:szCs w:val="32"/>
      <w:lang w:val="zh-CN" w:eastAsia="zh-CN"/>
    </w:rPr>
  </w:style>
  <w:style w:type="character" w:customStyle="1" w:styleId="76">
    <w:name w:val="脚注文本 字符"/>
    <w:basedOn w:val="44"/>
    <w:link w:val="32"/>
    <w:semiHidden/>
    <w:qFormat/>
    <w:uiPriority w:val="0"/>
    <w:rPr>
      <w:rFonts w:cstheme="minorBidi"/>
      <w:kern w:val="2"/>
      <w:sz w:val="18"/>
      <w:szCs w:val="18"/>
    </w:rPr>
  </w:style>
  <w:style w:type="character" w:customStyle="1" w:styleId="77">
    <w:name w:val="正文文本缩进 3 字符"/>
    <w:basedOn w:val="44"/>
    <w:link w:val="34"/>
    <w:semiHidden/>
    <w:qFormat/>
    <w:uiPriority w:val="0"/>
    <w:rPr>
      <w:rFonts w:cstheme="minorBidi"/>
      <w:kern w:val="2"/>
      <w:sz w:val="16"/>
      <w:szCs w:val="22"/>
    </w:rPr>
  </w:style>
  <w:style w:type="character" w:customStyle="1" w:styleId="78">
    <w:name w:val="HTML 预设格式 字符2"/>
    <w:basedOn w:val="44"/>
    <w:link w:val="37"/>
    <w:semiHidden/>
    <w:qFormat/>
    <w:uiPriority w:val="99"/>
    <w:rPr>
      <w:rFonts w:ascii="Courier New" w:hAnsi="Courier New" w:cstheme="minorBidi"/>
      <w:kern w:val="2"/>
      <w:szCs w:val="22"/>
    </w:rPr>
  </w:style>
  <w:style w:type="character" w:customStyle="1" w:styleId="79">
    <w:name w:val="标题 字符1"/>
    <w:link w:val="39"/>
    <w:qFormat/>
    <w:uiPriority w:val="0"/>
    <w:rPr>
      <w:rFonts w:ascii="Cambria" w:hAnsi="Cambria"/>
      <w:b/>
      <w:bCs/>
      <w:kern w:val="2"/>
      <w:sz w:val="32"/>
      <w:szCs w:val="32"/>
      <w:lang w:val="zh-CN" w:eastAsia="zh-CN"/>
    </w:rPr>
  </w:style>
  <w:style w:type="paragraph" w:customStyle="1" w:styleId="80">
    <w:name w:val="TOC 标题1"/>
    <w:basedOn w:val="2"/>
    <w:next w:val="1"/>
    <w:semiHidden/>
    <w:qFormat/>
    <w:uiPriority w:val="39"/>
    <w:pPr>
      <w:keepNext/>
      <w:keepLines/>
      <w:widowControl/>
      <w:spacing w:before="240" w:after="0" w:line="259" w:lineRule="auto"/>
      <w:jc w:val="left"/>
      <w:outlineLvl w:val="9"/>
    </w:pPr>
    <w:rPr>
      <w:rFonts w:asciiTheme="majorHAnsi" w:hAnsiTheme="majorHAnsi" w:eastAsiaTheme="majorEastAsia" w:cstheme="majorBidi"/>
      <w:color w:val="2E75B6" w:themeColor="accent1" w:themeShade="BF"/>
      <w:kern w:val="0"/>
      <w:szCs w:val="32"/>
    </w:rPr>
  </w:style>
  <w:style w:type="character" w:customStyle="1" w:styleId="81">
    <w:name w:val="editorial_decision_making"/>
    <w:basedOn w:val="44"/>
    <w:semiHidden/>
    <w:qFormat/>
    <w:uiPriority w:val="0"/>
  </w:style>
  <w:style w:type="paragraph" w:customStyle="1" w:styleId="82">
    <w:name w:val="font5"/>
    <w:basedOn w:val="1"/>
    <w:qFormat/>
    <w:uiPriority w:val="0"/>
    <w:pPr>
      <w:widowControl/>
      <w:spacing w:before="100" w:beforeAutospacing="1" w:after="100" w:afterAutospacing="1" w:line="240" w:lineRule="auto"/>
      <w:ind w:firstLine="0" w:firstLineChars="0"/>
      <w:jc w:val="left"/>
    </w:pPr>
    <w:rPr>
      <w:rFonts w:ascii="宋体" w:hAnsi="宋体" w:cs="宋体"/>
      <w:kern w:val="0"/>
      <w:sz w:val="18"/>
      <w:szCs w:val="18"/>
    </w:rPr>
  </w:style>
  <w:style w:type="paragraph" w:customStyle="1" w:styleId="83">
    <w:name w:val="xl111"/>
    <w:basedOn w:val="1"/>
    <w:qFormat/>
    <w:uiPriority w:val="0"/>
    <w:pPr>
      <w:widowControl/>
      <w:spacing w:before="100" w:beforeAutospacing="1" w:after="100" w:afterAutospacing="1" w:line="240" w:lineRule="auto"/>
      <w:ind w:firstLine="0" w:firstLineChars="0"/>
      <w:jc w:val="left"/>
      <w:textAlignment w:val="bottom"/>
    </w:pPr>
    <w:rPr>
      <w:rFonts w:ascii="宋体" w:hAnsi="宋体" w:cs="宋体"/>
      <w:kern w:val="0"/>
      <w:sz w:val="20"/>
      <w:szCs w:val="20"/>
    </w:rPr>
  </w:style>
  <w:style w:type="paragraph" w:customStyle="1" w:styleId="84">
    <w:name w:val="xl112"/>
    <w:basedOn w:val="1"/>
    <w:qFormat/>
    <w:uiPriority w:val="0"/>
    <w:pPr>
      <w:widowControl/>
      <w:spacing w:before="100" w:beforeAutospacing="1" w:after="100" w:afterAutospacing="1" w:line="240" w:lineRule="auto"/>
      <w:ind w:firstLine="0" w:firstLineChars="0"/>
      <w:jc w:val="center"/>
      <w:textAlignment w:val="bottom"/>
    </w:pPr>
    <w:rPr>
      <w:rFonts w:ascii="宋体" w:hAnsi="宋体" w:cs="宋体"/>
      <w:kern w:val="0"/>
      <w:sz w:val="20"/>
      <w:szCs w:val="20"/>
    </w:rPr>
  </w:style>
  <w:style w:type="paragraph" w:customStyle="1" w:styleId="85">
    <w:name w:val="xl11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bottom"/>
    </w:pPr>
    <w:rPr>
      <w:rFonts w:ascii="宋体" w:hAnsi="宋体" w:cs="宋体"/>
      <w:kern w:val="0"/>
      <w:sz w:val="20"/>
      <w:szCs w:val="20"/>
    </w:rPr>
  </w:style>
  <w:style w:type="paragraph" w:customStyle="1" w:styleId="86">
    <w:name w:val="xl11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bottom"/>
    </w:pPr>
    <w:rPr>
      <w:rFonts w:ascii="宋体" w:hAnsi="宋体" w:cs="宋体"/>
      <w:kern w:val="0"/>
      <w:sz w:val="18"/>
      <w:szCs w:val="18"/>
    </w:rPr>
  </w:style>
  <w:style w:type="paragraph" w:customStyle="1" w:styleId="87">
    <w:name w:val="xl11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bottom"/>
    </w:pPr>
    <w:rPr>
      <w:rFonts w:ascii="宋体" w:hAnsi="宋体" w:cs="宋体"/>
      <w:kern w:val="0"/>
      <w:sz w:val="18"/>
      <w:szCs w:val="18"/>
    </w:rPr>
  </w:style>
  <w:style w:type="paragraph" w:customStyle="1" w:styleId="88">
    <w:name w:val="xl11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bottom"/>
    </w:pPr>
    <w:rPr>
      <w:rFonts w:ascii="宋体" w:hAnsi="宋体" w:cs="宋体"/>
      <w:kern w:val="0"/>
      <w:sz w:val="18"/>
      <w:szCs w:val="18"/>
    </w:rPr>
  </w:style>
  <w:style w:type="paragraph" w:customStyle="1" w:styleId="89">
    <w:name w:val="font6"/>
    <w:basedOn w:val="1"/>
    <w:qFormat/>
    <w:uiPriority w:val="0"/>
    <w:pPr>
      <w:widowControl/>
      <w:spacing w:before="100" w:beforeAutospacing="1" w:after="100" w:afterAutospacing="1" w:line="240" w:lineRule="auto"/>
      <w:ind w:firstLine="0" w:firstLineChars="0"/>
      <w:jc w:val="left"/>
    </w:pPr>
    <w:rPr>
      <w:rFonts w:ascii="宋体" w:hAnsi="宋体" w:cs="宋体"/>
      <w:kern w:val="0"/>
      <w:sz w:val="20"/>
      <w:szCs w:val="20"/>
    </w:rPr>
  </w:style>
  <w:style w:type="paragraph" w:customStyle="1" w:styleId="90">
    <w:name w:val="font7"/>
    <w:basedOn w:val="1"/>
    <w:qFormat/>
    <w:uiPriority w:val="0"/>
    <w:pPr>
      <w:widowControl/>
      <w:spacing w:before="100" w:beforeAutospacing="1" w:after="100" w:afterAutospacing="1" w:line="240" w:lineRule="auto"/>
      <w:ind w:firstLine="0" w:firstLineChars="0"/>
      <w:jc w:val="left"/>
    </w:pPr>
    <w:rPr>
      <w:rFonts w:ascii="宋体" w:hAnsi="宋体" w:cs="宋体"/>
      <w:i/>
      <w:iCs/>
      <w:kern w:val="0"/>
      <w:sz w:val="20"/>
      <w:szCs w:val="20"/>
    </w:rPr>
  </w:style>
  <w:style w:type="paragraph" w:customStyle="1" w:styleId="91">
    <w:name w:val="font8"/>
    <w:basedOn w:val="1"/>
    <w:qFormat/>
    <w:uiPriority w:val="0"/>
    <w:pPr>
      <w:widowControl/>
      <w:spacing w:before="100" w:beforeAutospacing="1" w:after="100" w:afterAutospacing="1" w:line="240" w:lineRule="auto"/>
      <w:ind w:firstLine="0" w:firstLineChars="0"/>
      <w:jc w:val="left"/>
    </w:pPr>
    <w:rPr>
      <w:rFonts w:ascii="宋体" w:hAnsi="宋体" w:cs="宋体"/>
      <w:kern w:val="0"/>
      <w:sz w:val="20"/>
      <w:szCs w:val="20"/>
    </w:rPr>
  </w:style>
  <w:style w:type="paragraph" w:customStyle="1" w:styleId="92">
    <w:name w:val="xl117"/>
    <w:basedOn w:val="1"/>
    <w:semiHidden/>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cs="宋体"/>
      <w:b/>
      <w:bCs/>
      <w:kern w:val="0"/>
      <w:sz w:val="20"/>
      <w:szCs w:val="20"/>
    </w:rPr>
  </w:style>
  <w:style w:type="paragraph" w:customStyle="1" w:styleId="93">
    <w:name w:val="xl118"/>
    <w:basedOn w:val="1"/>
    <w:semiHidden/>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top"/>
    </w:pPr>
    <w:rPr>
      <w:rFonts w:ascii="宋体" w:hAnsi="宋体" w:cs="宋体"/>
      <w:b/>
      <w:bCs/>
      <w:kern w:val="0"/>
      <w:sz w:val="20"/>
      <w:szCs w:val="20"/>
    </w:rPr>
  </w:style>
  <w:style w:type="paragraph" w:customStyle="1" w:styleId="94">
    <w:name w:val="xl63"/>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95">
    <w:name w:val="xl64"/>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96">
    <w:name w:val="xl65"/>
    <w:basedOn w:val="1"/>
    <w:qFormat/>
    <w:uiPriority w:val="0"/>
    <w:pPr>
      <w:widowControl/>
      <w:spacing w:before="100" w:beforeAutospacing="1" w:after="100" w:afterAutospacing="1" w:line="240" w:lineRule="auto"/>
      <w:ind w:firstLine="0" w:firstLineChars="0"/>
      <w:jc w:val="left"/>
    </w:pPr>
    <w:rPr>
      <w:rFonts w:ascii="宋体" w:hAnsi="宋体" w:cs="宋体"/>
      <w:b/>
      <w:bCs/>
      <w:kern w:val="0"/>
      <w:szCs w:val="24"/>
    </w:rPr>
  </w:style>
  <w:style w:type="paragraph" w:customStyle="1" w:styleId="97">
    <w:name w:val="xl66"/>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98">
    <w:name w:val="xl67"/>
    <w:basedOn w:val="1"/>
    <w:qFormat/>
    <w:uiPriority w:val="0"/>
    <w:pPr>
      <w:widowControl/>
      <w:spacing w:before="100" w:beforeAutospacing="1" w:after="100" w:afterAutospacing="1" w:line="240" w:lineRule="auto"/>
      <w:ind w:firstLine="0" w:firstLineChars="0"/>
      <w:jc w:val="left"/>
    </w:pPr>
    <w:rPr>
      <w:rFonts w:ascii="宋体" w:hAnsi="宋体" w:cs="宋体"/>
      <w:b/>
      <w:bCs/>
      <w:kern w:val="0"/>
      <w:szCs w:val="24"/>
    </w:rPr>
  </w:style>
  <w:style w:type="paragraph" w:customStyle="1" w:styleId="99">
    <w:name w:val="xl68"/>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character" w:customStyle="1" w:styleId="100">
    <w:name w:val="标题 9 Char"/>
    <w:basedOn w:val="44"/>
    <w:qFormat/>
    <w:uiPriority w:val="0"/>
    <w:rPr>
      <w:rFonts w:asciiTheme="majorHAnsi" w:hAnsiTheme="majorHAnsi" w:eastAsiaTheme="majorEastAsia" w:cstheme="majorBidi"/>
      <w:kern w:val="2"/>
      <w:sz w:val="21"/>
      <w:szCs w:val="21"/>
    </w:rPr>
  </w:style>
  <w:style w:type="paragraph" w:customStyle="1" w:styleId="101">
    <w:name w:val="列出段落11"/>
    <w:basedOn w:val="1"/>
    <w:qFormat/>
    <w:uiPriority w:val="34"/>
    <w:pPr>
      <w:ind w:firstLine="420"/>
    </w:pPr>
  </w:style>
  <w:style w:type="character" w:customStyle="1" w:styleId="102">
    <w:name w:val="正文文本缩进 2 Char"/>
    <w:basedOn w:val="44"/>
    <w:qFormat/>
    <w:uiPriority w:val="0"/>
    <w:rPr>
      <w:rFonts w:cstheme="minorBidi"/>
      <w:kern w:val="2"/>
      <w:sz w:val="24"/>
      <w:szCs w:val="22"/>
    </w:rPr>
  </w:style>
  <w:style w:type="character" w:customStyle="1" w:styleId="103">
    <w:name w:val="正文文本缩进 3 Char"/>
    <w:basedOn w:val="44"/>
    <w:semiHidden/>
    <w:qFormat/>
    <w:uiPriority w:val="0"/>
    <w:rPr>
      <w:rFonts w:cstheme="minorBidi"/>
      <w:kern w:val="2"/>
      <w:sz w:val="16"/>
      <w:szCs w:val="16"/>
    </w:rPr>
  </w:style>
  <w:style w:type="character" w:customStyle="1" w:styleId="104">
    <w:name w:val="HTML 预设格式 Char"/>
    <w:basedOn w:val="44"/>
    <w:qFormat/>
    <w:uiPriority w:val="99"/>
    <w:rPr>
      <w:rFonts w:ascii="Courier New" w:hAnsi="Courier New" w:cs="Courier New"/>
      <w:kern w:val="2"/>
    </w:rPr>
  </w:style>
  <w:style w:type="paragraph" w:customStyle="1" w:styleId="105">
    <w:name w:val="TOC 标题11"/>
    <w:basedOn w:val="2"/>
    <w:next w:val="1"/>
    <w:semiHidden/>
    <w:qFormat/>
    <w:uiPriority w:val="39"/>
    <w:pPr>
      <w:keepNext/>
      <w:keepLines/>
      <w:widowControl/>
      <w:numPr>
        <w:numId w:val="2"/>
      </w:numPr>
      <w:spacing w:before="240" w:after="0" w:line="259" w:lineRule="auto"/>
      <w:jc w:val="left"/>
      <w:outlineLvl w:val="9"/>
    </w:pPr>
    <w:rPr>
      <w:rFonts w:asciiTheme="majorHAnsi" w:hAnsiTheme="majorHAnsi" w:eastAsiaTheme="majorEastAsia" w:cstheme="majorBidi"/>
      <w:color w:val="2E75B6" w:themeColor="accent1" w:themeShade="BF"/>
      <w:kern w:val="0"/>
      <w:szCs w:val="32"/>
    </w:rPr>
  </w:style>
  <w:style w:type="character" w:customStyle="1" w:styleId="106">
    <w:name w:val="纯文本 Char1"/>
    <w:basedOn w:val="44"/>
    <w:semiHidden/>
    <w:qFormat/>
    <w:uiPriority w:val="99"/>
    <w:rPr>
      <w:rFonts w:hint="eastAsia" w:ascii="宋体" w:hAnsi="Courier New" w:eastAsia="宋体" w:cs="Times New Roman"/>
      <w:sz w:val="24"/>
      <w:szCs w:val="20"/>
    </w:rPr>
  </w:style>
  <w:style w:type="paragraph" w:customStyle="1" w:styleId="107">
    <w:name w:val="段"/>
    <w:basedOn w:val="1"/>
    <w:link w:val="108"/>
    <w:qFormat/>
    <w:uiPriority w:val="0"/>
    <w:pPr>
      <w:widowControl/>
      <w:tabs>
        <w:tab w:val="center" w:pos="4201"/>
        <w:tab w:val="right" w:leader="dot" w:pos="9298"/>
      </w:tabs>
      <w:autoSpaceDE w:val="0"/>
      <w:autoSpaceDN w:val="0"/>
      <w:ind w:firstLine="420"/>
    </w:pPr>
    <w:rPr>
      <w:rFonts w:ascii="宋体" w:cs="Times New Roman"/>
      <w:kern w:val="0"/>
      <w:sz w:val="21"/>
      <w:szCs w:val="20"/>
    </w:rPr>
  </w:style>
  <w:style w:type="character" w:customStyle="1" w:styleId="108">
    <w:name w:val="段 Char"/>
    <w:basedOn w:val="44"/>
    <w:link w:val="107"/>
    <w:qFormat/>
    <w:uiPriority w:val="0"/>
    <w:rPr>
      <w:rFonts w:ascii="宋体"/>
      <w:sz w:val="21"/>
    </w:rPr>
  </w:style>
  <w:style w:type="character" w:customStyle="1" w:styleId="109">
    <w:name w:val="正文文字1 Char"/>
    <w:basedOn w:val="44"/>
    <w:link w:val="110"/>
    <w:qFormat/>
    <w:uiPriority w:val="0"/>
    <w:rPr>
      <w:rFonts w:hint="default" w:ascii="Times New Roman" w:hAnsi="Times New Roman" w:eastAsia="华文中宋" w:cs="Times New Roman"/>
      <w:sz w:val="24"/>
      <w:szCs w:val="24"/>
    </w:rPr>
  </w:style>
  <w:style w:type="paragraph" w:customStyle="1" w:styleId="110">
    <w:name w:val="正文文字1"/>
    <w:basedOn w:val="1"/>
    <w:link w:val="109"/>
    <w:qFormat/>
    <w:uiPriority w:val="0"/>
    <w:pPr>
      <w:widowControl/>
      <w:snapToGrid w:val="0"/>
      <w:spacing w:line="324" w:lineRule="auto"/>
      <w:ind w:firstLine="480"/>
      <w:jc w:val="left"/>
    </w:pPr>
    <w:rPr>
      <w:rFonts w:eastAsia="华文中宋" w:cs="Times New Roman"/>
      <w:kern w:val="0"/>
      <w:szCs w:val="24"/>
    </w:rPr>
  </w:style>
  <w:style w:type="character" w:customStyle="1" w:styleId="111">
    <w:name w:val="正文文本 字符"/>
    <w:basedOn w:val="44"/>
    <w:qFormat/>
    <w:uiPriority w:val="0"/>
    <w:rPr>
      <w:rFonts w:hint="default" w:ascii="Times New Roman" w:hAnsi="Times New Roman" w:eastAsia="宋体" w:cs="Times New Roman"/>
      <w:szCs w:val="24"/>
    </w:rPr>
  </w:style>
  <w:style w:type="character" w:customStyle="1" w:styleId="112">
    <w:name w:val="页脚 字符"/>
    <w:basedOn w:val="44"/>
    <w:qFormat/>
    <w:uiPriority w:val="99"/>
    <w:rPr>
      <w:sz w:val="18"/>
      <w:szCs w:val="18"/>
    </w:rPr>
  </w:style>
  <w:style w:type="character" w:customStyle="1" w:styleId="113">
    <w:name w:val="正文文本缩进 Char1"/>
    <w:basedOn w:val="44"/>
    <w:semiHidden/>
    <w:qFormat/>
    <w:uiPriority w:val="99"/>
    <w:rPr>
      <w:rFonts w:hint="eastAsia" w:ascii="宋体" w:hAnsi="宋体" w:eastAsia="宋体" w:cs="Times New Roman"/>
      <w:spacing w:val="10"/>
      <w:sz w:val="24"/>
      <w:szCs w:val="28"/>
    </w:rPr>
  </w:style>
  <w:style w:type="character" w:customStyle="1" w:styleId="114">
    <w:name w:val="style51"/>
    <w:basedOn w:val="44"/>
    <w:semiHidden/>
    <w:qFormat/>
    <w:uiPriority w:val="0"/>
    <w:rPr>
      <w:b/>
      <w:sz w:val="24"/>
      <w:szCs w:val="24"/>
    </w:rPr>
  </w:style>
  <w:style w:type="character" w:customStyle="1" w:styleId="115">
    <w:name w:val="标题 6 字符"/>
    <w:basedOn w:val="44"/>
    <w:qFormat/>
    <w:uiPriority w:val="0"/>
    <w:rPr>
      <w:rFonts w:hint="default" w:ascii="Times New Roman" w:hAnsi="Times New Roman" w:eastAsia="宋体" w:cs="Times New Roman"/>
      <w:sz w:val="24"/>
      <w:szCs w:val="24"/>
    </w:rPr>
  </w:style>
  <w:style w:type="character" w:customStyle="1" w:styleId="116">
    <w:name w:val="style421"/>
    <w:basedOn w:val="44"/>
    <w:semiHidden/>
    <w:qFormat/>
    <w:uiPriority w:val="0"/>
    <w:rPr>
      <w:sz w:val="22"/>
      <w:szCs w:val="22"/>
    </w:rPr>
  </w:style>
  <w:style w:type="character" w:customStyle="1" w:styleId="117">
    <w:name w:val="标题 2 字符"/>
    <w:basedOn w:val="44"/>
    <w:qFormat/>
    <w:uiPriority w:val="0"/>
    <w:rPr>
      <w:rFonts w:ascii="Arial" w:hAnsi="Arial" w:eastAsia="黑体" w:cs="Times New Roman"/>
      <w:b/>
      <w:kern w:val="0"/>
      <w:sz w:val="32"/>
      <w:szCs w:val="32"/>
    </w:rPr>
  </w:style>
  <w:style w:type="character" w:customStyle="1" w:styleId="118">
    <w:name w:val="font14high"/>
    <w:basedOn w:val="44"/>
    <w:semiHidden/>
    <w:qFormat/>
    <w:uiPriority w:val="0"/>
  </w:style>
  <w:style w:type="character" w:customStyle="1" w:styleId="119">
    <w:name w:val="st1"/>
    <w:basedOn w:val="44"/>
    <w:semiHidden/>
    <w:qFormat/>
    <w:uiPriority w:val="0"/>
  </w:style>
  <w:style w:type="character" w:customStyle="1" w:styleId="120">
    <w:name w:val="标题 8 字符"/>
    <w:basedOn w:val="44"/>
    <w:qFormat/>
    <w:uiPriority w:val="0"/>
    <w:rPr>
      <w:rFonts w:hint="default" w:ascii="Times New Roman" w:hAnsi="Times New Roman" w:eastAsia="宋体" w:cs="Times New Roman"/>
      <w:szCs w:val="24"/>
    </w:rPr>
  </w:style>
  <w:style w:type="character" w:customStyle="1" w:styleId="121">
    <w:name w:val="标题 3 Char1"/>
    <w:basedOn w:val="44"/>
    <w:semiHidden/>
    <w:qFormat/>
    <w:uiPriority w:val="0"/>
    <w:rPr>
      <w:rFonts w:hint="default" w:ascii="Times New Roman" w:hAnsi="Times New Roman" w:eastAsia="宋体" w:cs="Times New Roman"/>
      <w:b/>
      <w:sz w:val="32"/>
      <w:szCs w:val="32"/>
    </w:rPr>
  </w:style>
  <w:style w:type="character" w:customStyle="1" w:styleId="122">
    <w:name w:val="标题 5 字符"/>
    <w:basedOn w:val="44"/>
    <w:qFormat/>
    <w:uiPriority w:val="0"/>
    <w:rPr>
      <w:rFonts w:hint="eastAsia" w:ascii="宋体" w:hAnsi="宋体" w:eastAsia="宋体" w:cs="Times New Roman"/>
      <w:color w:val="000000"/>
      <w:kern w:val="0"/>
      <w:sz w:val="24"/>
      <w:szCs w:val="24"/>
    </w:rPr>
  </w:style>
  <w:style w:type="character" w:customStyle="1" w:styleId="123">
    <w:name w:val="Char Char3"/>
    <w:basedOn w:val="44"/>
    <w:semiHidden/>
    <w:qFormat/>
    <w:uiPriority w:val="0"/>
    <w:rPr>
      <w:rFonts w:hint="default" w:ascii="Times New Roman" w:hAnsi="Times New Roman" w:cs="Times New Roman"/>
      <w:kern w:val="2"/>
      <w:sz w:val="24"/>
      <w:szCs w:val="24"/>
    </w:rPr>
  </w:style>
  <w:style w:type="character" w:customStyle="1" w:styleId="124">
    <w:name w:val="副标题 Char"/>
    <w:basedOn w:val="44"/>
    <w:qFormat/>
    <w:uiPriority w:val="0"/>
    <w:rPr>
      <w:rFonts w:hint="default" w:ascii="Times New Roman" w:hAnsi="Times New Roman" w:eastAsia="宋体" w:cs="Times New Roman"/>
      <w:b/>
      <w:spacing w:val="8"/>
      <w:sz w:val="28"/>
      <w:szCs w:val="28"/>
    </w:rPr>
  </w:style>
  <w:style w:type="character" w:customStyle="1" w:styleId="125">
    <w:name w:val="表名 Char"/>
    <w:basedOn w:val="44"/>
    <w:semiHidden/>
    <w:qFormat/>
    <w:uiPriority w:val="0"/>
    <w:rPr>
      <w:rFonts w:hint="default" w:ascii="Times New Roman" w:hAnsi="Times New Roman" w:eastAsia="黑体" w:cs="Times New Roman"/>
      <w:spacing w:val="6"/>
      <w:kern w:val="0"/>
      <w:szCs w:val="20"/>
    </w:rPr>
  </w:style>
  <w:style w:type="character" w:customStyle="1" w:styleId="126">
    <w:name w:val="标题 2 Char1"/>
    <w:basedOn w:val="44"/>
    <w:semiHidden/>
    <w:qFormat/>
    <w:uiPriority w:val="0"/>
    <w:rPr>
      <w:rFonts w:hint="default" w:ascii="Times New Roman" w:hAnsi="Times New Roman" w:eastAsia="黑体" w:cs="Times New Roman"/>
      <w:bCs/>
      <w:sz w:val="32"/>
      <w:szCs w:val="32"/>
    </w:rPr>
  </w:style>
  <w:style w:type="character" w:customStyle="1" w:styleId="127">
    <w:name w:val="文档结构图 Char1"/>
    <w:basedOn w:val="44"/>
    <w:semiHidden/>
    <w:qFormat/>
    <w:uiPriority w:val="99"/>
    <w:rPr>
      <w:rFonts w:hint="default" w:ascii="Times New Roman" w:hAnsi="Times New Roman" w:eastAsia="宋体" w:cs="Times New Roman"/>
      <w:szCs w:val="24"/>
      <w:shd w:val="clear" w:color="auto" w:fill="000080"/>
    </w:rPr>
  </w:style>
  <w:style w:type="character" w:customStyle="1" w:styleId="128">
    <w:name w:val="tit2"/>
    <w:basedOn w:val="44"/>
    <w:semiHidden/>
    <w:qFormat/>
    <w:uiPriority w:val="0"/>
    <w:rPr>
      <w:b/>
      <w:sz w:val="48"/>
      <w:szCs w:val="48"/>
    </w:rPr>
  </w:style>
  <w:style w:type="character" w:customStyle="1" w:styleId="129">
    <w:name w:val="style511"/>
    <w:basedOn w:val="44"/>
    <w:semiHidden/>
    <w:qFormat/>
    <w:uiPriority w:val="0"/>
    <w:rPr>
      <w:sz w:val="24"/>
      <w:szCs w:val="24"/>
    </w:rPr>
  </w:style>
  <w:style w:type="character" w:customStyle="1" w:styleId="130">
    <w:name w:val="正文文本 Char1"/>
    <w:basedOn w:val="44"/>
    <w:semiHidden/>
    <w:qFormat/>
    <w:uiPriority w:val="99"/>
    <w:rPr>
      <w:rFonts w:hint="default" w:ascii="Times New Roman" w:hAnsi="Times New Roman" w:eastAsia="宋体" w:cs="Times New Roman"/>
      <w:szCs w:val="24"/>
    </w:rPr>
  </w:style>
  <w:style w:type="character" w:customStyle="1" w:styleId="131">
    <w:name w:val="Char Char13"/>
    <w:basedOn w:val="44"/>
    <w:semiHidden/>
    <w:qFormat/>
    <w:uiPriority w:val="0"/>
    <w:rPr>
      <w:rFonts w:hint="eastAsia" w:ascii="宋体" w:hAnsi="宋体" w:eastAsia="宋体" w:cs="宋体"/>
      <w:color w:val="000000"/>
      <w:kern w:val="2"/>
      <w:sz w:val="24"/>
      <w:szCs w:val="24"/>
      <w:lang w:val="en-US" w:eastAsia="zh-CN"/>
    </w:rPr>
  </w:style>
  <w:style w:type="character" w:customStyle="1" w:styleId="132">
    <w:name w:val="日期 字符"/>
    <w:basedOn w:val="44"/>
    <w:semiHidden/>
    <w:qFormat/>
    <w:uiPriority w:val="0"/>
    <w:rPr>
      <w:rFonts w:hint="default" w:ascii="Times New Roman" w:hAnsi="Times New Roman" w:eastAsia="宋体" w:cs="Times New Roman"/>
      <w:szCs w:val="24"/>
    </w:rPr>
  </w:style>
  <w:style w:type="character" w:customStyle="1" w:styleId="133">
    <w:name w:val="报告书正文 Char"/>
    <w:basedOn w:val="44"/>
    <w:semiHidden/>
    <w:qFormat/>
    <w:uiPriority w:val="0"/>
    <w:rPr>
      <w:rFonts w:hint="default" w:ascii="Times New Roman" w:hAnsi="Times New Roman" w:eastAsia="黑体" w:cs="Times New Roman"/>
      <w:snapToGrid w:val="0"/>
      <w:kern w:val="0"/>
      <w:szCs w:val="21"/>
      <w:lang w:val="en-US"/>
    </w:rPr>
  </w:style>
  <w:style w:type="character" w:customStyle="1" w:styleId="134">
    <w:name w:val="style921"/>
    <w:basedOn w:val="44"/>
    <w:semiHidden/>
    <w:qFormat/>
    <w:uiPriority w:val="0"/>
    <w:rPr>
      <w:sz w:val="16"/>
      <w:szCs w:val="16"/>
    </w:rPr>
  </w:style>
  <w:style w:type="character" w:customStyle="1" w:styleId="135">
    <w:name w:val="style1401"/>
    <w:basedOn w:val="44"/>
    <w:semiHidden/>
    <w:qFormat/>
    <w:uiPriority w:val="0"/>
    <w:rPr>
      <w:b/>
      <w:sz w:val="24"/>
      <w:szCs w:val="24"/>
    </w:rPr>
  </w:style>
  <w:style w:type="character" w:customStyle="1" w:styleId="136">
    <w:name w:val="style781"/>
    <w:basedOn w:val="44"/>
    <w:semiHidden/>
    <w:qFormat/>
    <w:uiPriority w:val="0"/>
    <w:rPr>
      <w:sz w:val="24"/>
      <w:szCs w:val="24"/>
    </w:rPr>
  </w:style>
  <w:style w:type="character" w:customStyle="1" w:styleId="137">
    <w:name w:val="style601"/>
    <w:basedOn w:val="44"/>
    <w:semiHidden/>
    <w:qFormat/>
    <w:uiPriority w:val="0"/>
    <w:rPr>
      <w:sz w:val="24"/>
      <w:szCs w:val="24"/>
    </w:rPr>
  </w:style>
  <w:style w:type="character" w:customStyle="1" w:styleId="138">
    <w:name w:val="表内文字 Char"/>
    <w:basedOn w:val="44"/>
    <w:semiHidden/>
    <w:qFormat/>
    <w:uiPriority w:val="0"/>
    <w:rPr>
      <w:rFonts w:hint="default" w:ascii="Times New Roman" w:hAnsi="Times New Roman" w:eastAsia="宋体" w:cs="Times New Roman"/>
      <w:kern w:val="0"/>
      <w:szCs w:val="20"/>
    </w:rPr>
  </w:style>
  <w:style w:type="character" w:customStyle="1" w:styleId="139">
    <w:name w:val="Char Char4"/>
    <w:basedOn w:val="44"/>
    <w:semiHidden/>
    <w:qFormat/>
    <w:uiPriority w:val="0"/>
    <w:rPr>
      <w:rFonts w:hint="eastAsia" w:ascii="宋体" w:hAnsi="宋体" w:eastAsia="宋体" w:cs="宋体"/>
      <w:kern w:val="2"/>
      <w:sz w:val="21"/>
      <w:szCs w:val="24"/>
      <w:lang w:val="en-US" w:eastAsia="zh-CN"/>
    </w:rPr>
  </w:style>
  <w:style w:type="character" w:customStyle="1" w:styleId="140">
    <w:name w:val="文件正文 Char"/>
    <w:basedOn w:val="44"/>
    <w:semiHidden/>
    <w:qFormat/>
    <w:uiPriority w:val="0"/>
    <w:rPr>
      <w:rFonts w:hint="default" w:ascii="Times New Roman" w:hAnsi="Times New Roman" w:eastAsia="仿宋_GB2312" w:cs="Times New Roman"/>
      <w:sz w:val="32"/>
      <w:szCs w:val="24"/>
    </w:rPr>
  </w:style>
  <w:style w:type="character" w:customStyle="1" w:styleId="141">
    <w:name w:val="Char Char2"/>
    <w:basedOn w:val="139"/>
    <w:semiHidden/>
    <w:qFormat/>
    <w:uiPriority w:val="0"/>
    <w:rPr>
      <w:rFonts w:hint="eastAsia" w:ascii="宋体" w:hAnsi="宋体" w:eastAsia="宋体" w:cs="宋体"/>
      <w:kern w:val="2"/>
      <w:sz w:val="21"/>
      <w:szCs w:val="24"/>
      <w:lang w:val="en-US" w:eastAsia="zh-CN"/>
    </w:rPr>
  </w:style>
  <w:style w:type="character" w:customStyle="1" w:styleId="142">
    <w:name w:val="标题 7 字符"/>
    <w:basedOn w:val="44"/>
    <w:qFormat/>
    <w:uiPriority w:val="0"/>
    <w:rPr>
      <w:rFonts w:hint="default" w:ascii="Times New Roman" w:hAnsi="Times New Roman" w:eastAsia="宋体" w:cs="Times New Roman"/>
      <w:sz w:val="24"/>
      <w:szCs w:val="24"/>
    </w:rPr>
  </w:style>
  <w:style w:type="character" w:customStyle="1" w:styleId="143">
    <w:name w:val="ourfont21"/>
    <w:basedOn w:val="44"/>
    <w:semiHidden/>
    <w:qFormat/>
    <w:uiPriority w:val="0"/>
    <w:rPr>
      <w:spacing w:val="220"/>
      <w:sz w:val="18"/>
      <w:szCs w:val="18"/>
    </w:rPr>
  </w:style>
  <w:style w:type="character" w:customStyle="1" w:styleId="144">
    <w:name w:val="正文文本缩进 Char"/>
    <w:basedOn w:val="44"/>
    <w:qFormat/>
    <w:uiPriority w:val="0"/>
    <w:rPr>
      <w:rFonts w:hint="default" w:ascii="Times New Roman" w:hAnsi="Times New Roman" w:eastAsia="宋体" w:cs="Times New Roman"/>
      <w:szCs w:val="24"/>
    </w:rPr>
  </w:style>
  <w:style w:type="character" w:customStyle="1" w:styleId="145">
    <w:name w:val="表文 Char"/>
    <w:basedOn w:val="44"/>
    <w:semiHidden/>
    <w:qFormat/>
    <w:uiPriority w:val="0"/>
    <w:rPr>
      <w:rFonts w:hint="default" w:ascii="Times New Roman" w:hAnsi="Times New Roman" w:eastAsia="宋体" w:cs="Times New Roman"/>
      <w:sz w:val="18"/>
      <w:szCs w:val="20"/>
    </w:rPr>
  </w:style>
  <w:style w:type="character" w:customStyle="1" w:styleId="146">
    <w:name w:val="页眉 字符"/>
    <w:basedOn w:val="44"/>
    <w:qFormat/>
    <w:uiPriority w:val="0"/>
    <w:rPr>
      <w:sz w:val="18"/>
      <w:szCs w:val="18"/>
    </w:rPr>
  </w:style>
  <w:style w:type="character" w:customStyle="1" w:styleId="147">
    <w:name w:val="样式1 字符"/>
    <w:basedOn w:val="44"/>
    <w:semiHidden/>
    <w:qFormat/>
    <w:uiPriority w:val="0"/>
    <w:rPr>
      <w:rFonts w:hint="default" w:ascii="Times New Roman" w:hAnsi="Times New Roman" w:eastAsia="宋体" w:cs="Times New Roman"/>
      <w:b/>
      <w:spacing w:val="8"/>
      <w:sz w:val="28"/>
      <w:szCs w:val="28"/>
    </w:rPr>
  </w:style>
  <w:style w:type="character" w:customStyle="1" w:styleId="148">
    <w:name w:val="style21"/>
    <w:basedOn w:val="44"/>
    <w:semiHidden/>
    <w:qFormat/>
    <w:uiPriority w:val="0"/>
    <w:rPr>
      <w:sz w:val="24"/>
      <w:szCs w:val="24"/>
    </w:rPr>
  </w:style>
  <w:style w:type="character" w:customStyle="1" w:styleId="149">
    <w:name w:val="style41"/>
    <w:basedOn w:val="44"/>
    <w:semiHidden/>
    <w:qFormat/>
    <w:uiPriority w:val="0"/>
    <w:rPr>
      <w:sz w:val="21"/>
      <w:szCs w:val="21"/>
    </w:rPr>
  </w:style>
  <w:style w:type="character" w:customStyle="1" w:styleId="150">
    <w:name w:val="style211"/>
    <w:basedOn w:val="44"/>
    <w:semiHidden/>
    <w:qFormat/>
    <w:uiPriority w:val="0"/>
    <w:rPr>
      <w:sz w:val="24"/>
      <w:szCs w:val="24"/>
    </w:rPr>
  </w:style>
  <w:style w:type="character" w:customStyle="1" w:styleId="151">
    <w:name w:val="style161"/>
    <w:basedOn w:val="44"/>
    <w:semiHidden/>
    <w:qFormat/>
    <w:uiPriority w:val="0"/>
    <w:rPr>
      <w:sz w:val="24"/>
      <w:szCs w:val="24"/>
    </w:rPr>
  </w:style>
  <w:style w:type="character" w:customStyle="1" w:styleId="152">
    <w:name w:val="纯文本 Char Char Char Char Char Char Char"/>
    <w:basedOn w:val="44"/>
    <w:semiHidden/>
    <w:qFormat/>
    <w:uiPriority w:val="0"/>
    <w:rPr>
      <w:rFonts w:hint="eastAsia" w:ascii="宋体" w:hAnsi="Courier New" w:eastAsia="宋体" w:cs="宋体"/>
      <w:kern w:val="2"/>
      <w:sz w:val="21"/>
      <w:lang w:val="en-US" w:eastAsia="zh-CN"/>
    </w:rPr>
  </w:style>
  <w:style w:type="character" w:customStyle="1" w:styleId="153">
    <w:name w:val="style581"/>
    <w:basedOn w:val="44"/>
    <w:semiHidden/>
    <w:qFormat/>
    <w:uiPriority w:val="0"/>
    <w:rPr>
      <w:sz w:val="24"/>
      <w:szCs w:val="24"/>
    </w:rPr>
  </w:style>
  <w:style w:type="character" w:customStyle="1" w:styleId="154">
    <w:name w:val="style191"/>
    <w:basedOn w:val="44"/>
    <w:semiHidden/>
    <w:qFormat/>
    <w:uiPriority w:val="0"/>
    <w:rPr>
      <w:b/>
      <w:sz w:val="14"/>
      <w:szCs w:val="14"/>
    </w:rPr>
  </w:style>
  <w:style w:type="character" w:customStyle="1" w:styleId="155">
    <w:name w:val="批注框文本 Char1"/>
    <w:basedOn w:val="44"/>
    <w:semiHidden/>
    <w:qFormat/>
    <w:uiPriority w:val="99"/>
    <w:rPr>
      <w:rFonts w:hint="default" w:ascii="Times New Roman" w:hAnsi="Times New Roman" w:eastAsia="宋体" w:cs="Times New Roman"/>
      <w:sz w:val="18"/>
      <w:szCs w:val="18"/>
    </w:rPr>
  </w:style>
  <w:style w:type="character" w:customStyle="1" w:styleId="156">
    <w:name w:val="a3"/>
    <w:basedOn w:val="44"/>
    <w:semiHidden/>
    <w:qFormat/>
    <w:uiPriority w:val="0"/>
  </w:style>
  <w:style w:type="character" w:customStyle="1" w:styleId="157">
    <w:name w:val="style141"/>
    <w:basedOn w:val="44"/>
    <w:semiHidden/>
    <w:qFormat/>
    <w:uiPriority w:val="0"/>
    <w:rPr>
      <w:b/>
      <w:sz w:val="15"/>
      <w:szCs w:val="15"/>
    </w:rPr>
  </w:style>
  <w:style w:type="character" w:customStyle="1" w:styleId="158">
    <w:name w:val="style151"/>
    <w:basedOn w:val="44"/>
    <w:semiHidden/>
    <w:qFormat/>
    <w:uiPriority w:val="0"/>
    <w:rPr>
      <w:b/>
      <w:sz w:val="22"/>
      <w:szCs w:val="22"/>
    </w:rPr>
  </w:style>
  <w:style w:type="character" w:customStyle="1" w:styleId="159">
    <w:name w:val="style104"/>
    <w:basedOn w:val="44"/>
    <w:semiHidden/>
    <w:qFormat/>
    <w:uiPriority w:val="0"/>
  </w:style>
  <w:style w:type="character" w:customStyle="1" w:styleId="160">
    <w:name w:val="style231"/>
    <w:basedOn w:val="44"/>
    <w:semiHidden/>
    <w:qFormat/>
    <w:uiPriority w:val="0"/>
    <w:rPr>
      <w:b/>
      <w:sz w:val="36"/>
      <w:szCs w:val="36"/>
    </w:rPr>
  </w:style>
  <w:style w:type="character" w:customStyle="1" w:styleId="161">
    <w:name w:val="标题 1 字符"/>
    <w:basedOn w:val="44"/>
    <w:qFormat/>
    <w:uiPriority w:val="0"/>
    <w:rPr>
      <w:rFonts w:hint="default" w:ascii="Times New Roman" w:hAnsi="Times New Roman" w:eastAsia="宋体" w:cs="Times New Roman"/>
      <w:b/>
      <w:kern w:val="44"/>
      <w:sz w:val="44"/>
      <w:szCs w:val="44"/>
    </w:rPr>
  </w:style>
  <w:style w:type="character" w:customStyle="1" w:styleId="162">
    <w:name w:val="标题 3 字符"/>
    <w:basedOn w:val="44"/>
    <w:qFormat/>
    <w:uiPriority w:val="0"/>
    <w:rPr>
      <w:rFonts w:hint="default" w:ascii="Times New Roman" w:hAnsi="Times New Roman" w:eastAsia="宋体" w:cs="Times New Roman"/>
      <w:b/>
      <w:sz w:val="32"/>
      <w:szCs w:val="32"/>
    </w:rPr>
  </w:style>
  <w:style w:type="character" w:customStyle="1" w:styleId="163">
    <w:name w:val="标题 4 字符"/>
    <w:basedOn w:val="44"/>
    <w:qFormat/>
    <w:uiPriority w:val="0"/>
    <w:rPr>
      <w:rFonts w:hint="default" w:ascii="Times New Roman" w:hAnsi="Times New Roman" w:eastAsia="宋体" w:cs="Times New Roman"/>
      <w:b/>
      <w:color w:val="000000"/>
      <w:kern w:val="0"/>
      <w:sz w:val="24"/>
      <w:szCs w:val="24"/>
    </w:rPr>
  </w:style>
  <w:style w:type="character" w:customStyle="1" w:styleId="164">
    <w:name w:val="纯文本 字符"/>
    <w:basedOn w:val="44"/>
    <w:qFormat/>
    <w:uiPriority w:val="0"/>
    <w:rPr>
      <w:rFonts w:hint="eastAsia" w:ascii="宋体" w:hAnsi="Courier New" w:eastAsia="宋体" w:cs="Times New Roman"/>
      <w:sz w:val="24"/>
      <w:szCs w:val="20"/>
    </w:rPr>
  </w:style>
  <w:style w:type="character" w:customStyle="1" w:styleId="165">
    <w:name w:val="正文首行缩进 字符"/>
    <w:basedOn w:val="44"/>
    <w:semiHidden/>
    <w:qFormat/>
    <w:uiPriority w:val="0"/>
    <w:rPr>
      <w:rFonts w:hint="default" w:ascii="Times New Roman" w:hAnsi="Times New Roman" w:eastAsia="宋体" w:cs="Times New Roman"/>
      <w:szCs w:val="24"/>
    </w:rPr>
  </w:style>
  <w:style w:type="character" w:customStyle="1" w:styleId="166">
    <w:name w:val="批注文字 字符"/>
    <w:basedOn w:val="44"/>
    <w:qFormat/>
    <w:uiPriority w:val="99"/>
    <w:rPr>
      <w:rFonts w:hint="default" w:ascii="Times New Roman" w:hAnsi="Times New Roman" w:eastAsia="宋体" w:cs="Times New Roman"/>
      <w:szCs w:val="24"/>
    </w:rPr>
  </w:style>
  <w:style w:type="character" w:customStyle="1" w:styleId="167">
    <w:name w:val="style61"/>
    <w:basedOn w:val="44"/>
    <w:semiHidden/>
    <w:qFormat/>
    <w:uiPriority w:val="0"/>
    <w:rPr>
      <w:sz w:val="24"/>
      <w:szCs w:val="24"/>
    </w:rPr>
  </w:style>
  <w:style w:type="character" w:customStyle="1" w:styleId="168">
    <w:name w:val="style371"/>
    <w:basedOn w:val="44"/>
    <w:semiHidden/>
    <w:qFormat/>
    <w:uiPriority w:val="0"/>
    <w:rPr>
      <w:color w:val="000000"/>
      <w:sz w:val="24"/>
      <w:szCs w:val="24"/>
    </w:rPr>
  </w:style>
  <w:style w:type="character" w:customStyle="1" w:styleId="169">
    <w:name w:val="表文 Char1"/>
    <w:basedOn w:val="44"/>
    <w:semiHidden/>
    <w:qFormat/>
    <w:uiPriority w:val="0"/>
    <w:rPr>
      <w:rFonts w:hint="eastAsia" w:ascii="宋体" w:hAnsi="宋体" w:eastAsia="宋体" w:cs="宋体"/>
      <w:sz w:val="18"/>
      <w:szCs w:val="18"/>
      <w:lang w:val="en-US" w:eastAsia="zh-CN"/>
    </w:rPr>
  </w:style>
  <w:style w:type="character" w:customStyle="1" w:styleId="170">
    <w:name w:val="black000"/>
    <w:basedOn w:val="44"/>
    <w:semiHidden/>
    <w:qFormat/>
    <w:uiPriority w:val="0"/>
  </w:style>
  <w:style w:type="paragraph" w:customStyle="1" w:styleId="171">
    <w:name w:val="我的正文 Char"/>
    <w:basedOn w:val="1"/>
    <w:semiHidden/>
    <w:qFormat/>
    <w:uiPriority w:val="0"/>
    <w:rPr>
      <w:rFonts w:cs="Times New Roman"/>
      <w:szCs w:val="24"/>
    </w:rPr>
  </w:style>
  <w:style w:type="paragraph" w:customStyle="1" w:styleId="172">
    <w:name w:val="列出段落2"/>
    <w:basedOn w:val="1"/>
    <w:semiHidden/>
    <w:qFormat/>
    <w:uiPriority w:val="34"/>
    <w:pPr>
      <w:spacing w:line="240" w:lineRule="auto"/>
      <w:ind w:firstLine="420"/>
    </w:pPr>
    <w:rPr>
      <w:rFonts w:ascii="Calibri" w:hAnsi="Calibri" w:cs="Times New Roman"/>
      <w:sz w:val="21"/>
    </w:rPr>
  </w:style>
  <w:style w:type="paragraph" w:customStyle="1" w:styleId="173">
    <w:name w:val="Style Style Body Text First Indent + (Latin) 仿宋_GB2312_TW + 仿宋_GB23..."/>
    <w:basedOn w:val="1"/>
    <w:link w:val="174"/>
    <w:semiHidden/>
    <w:qFormat/>
    <w:uiPriority w:val="0"/>
    <w:pPr>
      <w:topLinePunct/>
      <w:spacing w:line="240" w:lineRule="auto"/>
      <w:ind w:firstLine="586"/>
    </w:pPr>
    <w:rPr>
      <w:rFonts w:eastAsia="仿宋_GB2312_TW" w:cs="Times New Roman"/>
      <w:kern w:val="0"/>
      <w:sz w:val="28"/>
      <w:szCs w:val="28"/>
    </w:rPr>
  </w:style>
  <w:style w:type="character" w:customStyle="1" w:styleId="174">
    <w:name w:val="Style Style Body Text First Indent + (Latin) 仿宋_GB2312_TW + 仿宋_GB23... Char"/>
    <w:link w:val="173"/>
    <w:semiHidden/>
    <w:qFormat/>
    <w:uiPriority w:val="0"/>
    <w:rPr>
      <w:rFonts w:eastAsia="仿宋_GB2312_TW"/>
      <w:sz w:val="28"/>
      <w:szCs w:val="28"/>
    </w:rPr>
  </w:style>
  <w:style w:type="paragraph" w:customStyle="1" w:styleId="175">
    <w:name w:val="正文a"/>
    <w:basedOn w:val="1"/>
    <w:link w:val="176"/>
    <w:semiHidden/>
    <w:qFormat/>
    <w:uiPriority w:val="0"/>
    <w:pPr>
      <w:spacing w:beforeLines="50" w:afterLines="50"/>
      <w:ind w:firstLine="560"/>
    </w:pPr>
    <w:rPr>
      <w:rFonts w:cs="Times New Roman"/>
      <w:kern w:val="0"/>
      <w:sz w:val="28"/>
      <w:szCs w:val="28"/>
    </w:rPr>
  </w:style>
  <w:style w:type="character" w:customStyle="1" w:styleId="176">
    <w:name w:val="正文a Char"/>
    <w:link w:val="175"/>
    <w:semiHidden/>
    <w:qFormat/>
    <w:uiPriority w:val="0"/>
    <w:rPr>
      <w:sz w:val="28"/>
      <w:szCs w:val="28"/>
    </w:rPr>
  </w:style>
  <w:style w:type="character" w:customStyle="1" w:styleId="177">
    <w:name w:val="font51"/>
    <w:basedOn w:val="44"/>
    <w:semiHidden/>
    <w:qFormat/>
    <w:uiPriority w:val="0"/>
    <w:rPr>
      <w:rFonts w:hint="default" w:ascii="Times New Roman" w:hAnsi="Times New Roman" w:cs="Times New Roman"/>
      <w:b/>
      <w:bCs/>
      <w:color w:val="000000"/>
      <w:sz w:val="21"/>
      <w:szCs w:val="21"/>
      <w:u w:val="none"/>
    </w:rPr>
  </w:style>
  <w:style w:type="character" w:customStyle="1" w:styleId="178">
    <w:name w:val="font41"/>
    <w:basedOn w:val="44"/>
    <w:semiHidden/>
    <w:qFormat/>
    <w:uiPriority w:val="0"/>
    <w:rPr>
      <w:rFonts w:hint="default" w:ascii="Times New Roman" w:hAnsi="Times New Roman" w:cs="Times New Roman"/>
      <w:b/>
      <w:bCs/>
      <w:color w:val="000000"/>
      <w:sz w:val="21"/>
      <w:szCs w:val="21"/>
      <w:u w:val="none"/>
      <w:vertAlign w:val="superscript"/>
    </w:rPr>
  </w:style>
  <w:style w:type="character" w:customStyle="1" w:styleId="179">
    <w:name w:val="font21"/>
    <w:basedOn w:val="44"/>
    <w:semiHidden/>
    <w:qFormat/>
    <w:uiPriority w:val="0"/>
    <w:rPr>
      <w:rFonts w:hint="eastAsia" w:ascii="宋体" w:hAnsi="宋体" w:eastAsia="宋体"/>
      <w:b/>
      <w:bCs/>
      <w:color w:val="000000"/>
      <w:sz w:val="21"/>
      <w:szCs w:val="21"/>
      <w:u w:val="none"/>
    </w:rPr>
  </w:style>
  <w:style w:type="paragraph" w:customStyle="1" w:styleId="180">
    <w:name w:val="列出段落3"/>
    <w:basedOn w:val="1"/>
    <w:semiHidden/>
    <w:qFormat/>
    <w:uiPriority w:val="99"/>
    <w:pPr>
      <w:ind w:firstLine="420"/>
    </w:pPr>
  </w:style>
  <w:style w:type="character" w:customStyle="1" w:styleId="181">
    <w:name w:val="font31"/>
    <w:basedOn w:val="44"/>
    <w:semiHidden/>
    <w:qFormat/>
    <w:uiPriority w:val="0"/>
    <w:rPr>
      <w:rFonts w:hint="eastAsia" w:ascii="宋体" w:hAnsi="宋体" w:eastAsia="宋体"/>
      <w:color w:val="000000"/>
      <w:sz w:val="21"/>
      <w:szCs w:val="21"/>
      <w:u w:val="none"/>
    </w:rPr>
  </w:style>
  <w:style w:type="character" w:customStyle="1" w:styleId="182">
    <w:name w:val="font11"/>
    <w:basedOn w:val="44"/>
    <w:semiHidden/>
    <w:qFormat/>
    <w:uiPriority w:val="0"/>
    <w:rPr>
      <w:rFonts w:hint="default" w:ascii="Times New Roman" w:hAnsi="Times New Roman" w:cs="Times New Roman"/>
      <w:color w:val="000000"/>
      <w:sz w:val="21"/>
      <w:szCs w:val="21"/>
      <w:u w:val="none"/>
    </w:rPr>
  </w:style>
  <w:style w:type="paragraph" w:customStyle="1" w:styleId="183">
    <w:name w:val="11111"/>
    <w:basedOn w:val="1"/>
    <w:link w:val="184"/>
    <w:semiHidden/>
    <w:qFormat/>
    <w:uiPriority w:val="0"/>
    <w:pPr>
      <w:spacing w:beforeLines="50"/>
      <w:ind w:firstLine="560"/>
    </w:pPr>
    <w:rPr>
      <w:rFonts w:cs="Times New Roman"/>
      <w:kern w:val="0"/>
      <w:sz w:val="28"/>
      <w:szCs w:val="28"/>
    </w:rPr>
  </w:style>
  <w:style w:type="character" w:customStyle="1" w:styleId="184">
    <w:name w:val="11111 Char"/>
    <w:basedOn w:val="44"/>
    <w:link w:val="183"/>
    <w:semiHidden/>
    <w:qFormat/>
    <w:uiPriority w:val="0"/>
    <w:rPr>
      <w:sz w:val="28"/>
      <w:szCs w:val="28"/>
    </w:rPr>
  </w:style>
  <w:style w:type="character" w:customStyle="1" w:styleId="185">
    <w:name w:val="font01"/>
    <w:basedOn w:val="44"/>
    <w:semiHidden/>
    <w:qFormat/>
    <w:uiPriority w:val="0"/>
    <w:rPr>
      <w:rFonts w:hint="eastAsia" w:ascii="宋体" w:hAnsi="宋体" w:eastAsia="宋体" w:cs="宋体"/>
      <w:i/>
      <w:color w:val="000000"/>
      <w:sz w:val="20"/>
      <w:szCs w:val="20"/>
      <w:u w:val="none"/>
    </w:rPr>
  </w:style>
  <w:style w:type="paragraph" w:customStyle="1" w:styleId="186">
    <w:name w:val="报告书正文"/>
    <w:basedOn w:val="1"/>
    <w:qFormat/>
    <w:uiPriority w:val="0"/>
    <w:pPr>
      <w:ind w:firstLine="480"/>
      <w:textAlignment w:val="baseline"/>
    </w:pPr>
    <w:rPr>
      <w:rFonts w:ascii="宋体" w:hAnsi="宋体" w:cs="Times New Roman"/>
      <w:szCs w:val="24"/>
    </w:rPr>
  </w:style>
  <w:style w:type="paragraph" w:customStyle="1" w:styleId="187">
    <w:name w:val="msonormal"/>
    <w:basedOn w:val="1"/>
    <w:qFormat/>
    <w:uiPriority w:val="0"/>
  </w:style>
  <w:style w:type="paragraph" w:customStyle="1" w:styleId="188">
    <w:name w:val="文本"/>
    <w:basedOn w:val="1"/>
    <w:next w:val="14"/>
    <w:qFormat/>
    <w:uiPriority w:val="0"/>
    <w:pPr>
      <w:ind w:firstLine="480"/>
    </w:pPr>
    <w:rPr>
      <w:szCs w:val="24"/>
    </w:rPr>
  </w:style>
  <w:style w:type="paragraph" w:customStyle="1" w:styleId="189">
    <w:name w:val="Default"/>
    <w:unhideWhenUsed/>
    <w:qFormat/>
    <w:uiPriority w:val="0"/>
    <w:pPr>
      <w:widowControl w:val="0"/>
      <w:autoSpaceDE w:val="0"/>
      <w:autoSpaceDN w:val="0"/>
      <w:adjustRightInd w:val="0"/>
    </w:pPr>
    <w:rPr>
      <w:rFonts w:hint="eastAsia" w:ascii="Times New Roman" w:hAnsi="Times New Roman" w:eastAsia="宋体" w:cs="Times New Roman"/>
      <w:color w:val="000000"/>
      <w:sz w:val="24"/>
      <w:szCs w:val="22"/>
      <w:lang w:val="en-US" w:eastAsia="zh-CN" w:bidi="ar-SA"/>
    </w:rPr>
  </w:style>
  <w:style w:type="character" w:customStyle="1" w:styleId="190">
    <w:name w:val="标题 9 字符1"/>
    <w:qFormat/>
    <w:uiPriority w:val="0"/>
    <w:rPr>
      <w:rFonts w:ascii="Arial" w:hAnsi="Arial" w:eastAsia="黑体" w:cs="Times New Roman"/>
      <w:kern w:val="0"/>
      <w:sz w:val="20"/>
      <w:szCs w:val="21"/>
      <w:lang w:val="zh-CN" w:eastAsia="zh-CN"/>
    </w:rPr>
  </w:style>
  <w:style w:type="character" w:customStyle="1" w:styleId="191">
    <w:name w:val="文档结构图 字符1"/>
    <w:semiHidden/>
    <w:qFormat/>
    <w:uiPriority w:val="99"/>
    <w:rPr>
      <w:rFonts w:ascii="Times New Roman" w:hAnsi="Times New Roman" w:eastAsia="宋体" w:cs="Times New Roman"/>
      <w:szCs w:val="24"/>
      <w:shd w:val="clear" w:color="auto" w:fill="000080"/>
    </w:rPr>
  </w:style>
  <w:style w:type="character" w:customStyle="1" w:styleId="192">
    <w:name w:val="正文文本缩进 字符"/>
    <w:basedOn w:val="44"/>
    <w:qFormat/>
    <w:uiPriority w:val="0"/>
    <w:rPr>
      <w:rFonts w:cstheme="minorBidi"/>
      <w:kern w:val="2"/>
      <w:sz w:val="24"/>
      <w:szCs w:val="22"/>
    </w:rPr>
  </w:style>
  <w:style w:type="character" w:customStyle="1" w:styleId="193">
    <w:name w:val="一级条标题 Char"/>
    <w:link w:val="194"/>
    <w:qFormat/>
    <w:uiPriority w:val="0"/>
    <w:rPr>
      <w:rFonts w:eastAsia="黑体"/>
    </w:rPr>
  </w:style>
  <w:style w:type="paragraph" w:customStyle="1" w:styleId="194">
    <w:name w:val="一级条标题"/>
    <w:next w:val="107"/>
    <w:link w:val="193"/>
    <w:qFormat/>
    <w:uiPriority w:val="0"/>
    <w:pPr>
      <w:numPr>
        <w:ilvl w:val="2"/>
        <w:numId w:val="3"/>
      </w:numPr>
      <w:outlineLvl w:val="2"/>
    </w:pPr>
    <w:rPr>
      <w:rFonts w:ascii="Times New Roman" w:hAnsi="Times New Roman" w:eastAsia="黑体" w:cs="Times New Roman"/>
      <w:lang w:val="en-US" w:eastAsia="zh-CN" w:bidi="ar-SA"/>
    </w:rPr>
  </w:style>
  <w:style w:type="character" w:customStyle="1" w:styleId="195">
    <w:name w:val="正文文本缩进 2 字符1"/>
    <w:qFormat/>
    <w:uiPriority w:val="0"/>
    <w:rPr>
      <w:rFonts w:ascii="Times New Roman" w:hAnsi="Times New Roman" w:eastAsia="宋体" w:cs="Times New Roman"/>
      <w:szCs w:val="24"/>
    </w:rPr>
  </w:style>
  <w:style w:type="character" w:customStyle="1" w:styleId="196">
    <w:name w:val="页脚 Char"/>
    <w:qFormat/>
    <w:uiPriority w:val="99"/>
    <w:rPr>
      <w:rFonts w:ascii="Times New Roman" w:hAnsi="Times New Roman" w:eastAsia="宋体" w:cs="Times New Roman"/>
      <w:sz w:val="18"/>
      <w:szCs w:val="18"/>
    </w:rPr>
  </w:style>
  <w:style w:type="character" w:customStyle="1" w:styleId="197">
    <w:name w:val="页眉 Char"/>
    <w:qFormat/>
    <w:uiPriority w:val="0"/>
    <w:rPr>
      <w:rFonts w:ascii="Times New Roman" w:hAnsi="Times New Roman" w:eastAsia="宋体" w:cs="Times New Roman"/>
      <w:sz w:val="18"/>
      <w:szCs w:val="18"/>
    </w:rPr>
  </w:style>
  <w:style w:type="character" w:customStyle="1" w:styleId="198">
    <w:name w:val="批注框文本 字符1"/>
    <w:semiHidden/>
    <w:qFormat/>
    <w:uiPriority w:val="0"/>
    <w:rPr>
      <w:rFonts w:ascii="Times New Roman" w:hAnsi="Times New Roman" w:eastAsia="宋体" w:cs="Times New Roman"/>
      <w:sz w:val="18"/>
      <w:szCs w:val="18"/>
    </w:rPr>
  </w:style>
  <w:style w:type="character" w:customStyle="1" w:styleId="199">
    <w:name w:val="副标题 字符"/>
    <w:basedOn w:val="44"/>
    <w:qFormat/>
    <w:uiPriority w:val="0"/>
    <w:rPr>
      <w:rFonts w:asciiTheme="minorHAnsi" w:hAnsiTheme="minorHAnsi" w:eastAsiaTheme="minorEastAsia" w:cstheme="minorBidi"/>
      <w:b/>
      <w:bCs/>
      <w:kern w:val="28"/>
      <w:sz w:val="32"/>
      <w:szCs w:val="32"/>
    </w:rPr>
  </w:style>
  <w:style w:type="paragraph" w:customStyle="1" w:styleId="200">
    <w:name w:val="样式4"/>
    <w:basedOn w:val="1"/>
    <w:qFormat/>
    <w:uiPriority w:val="0"/>
    <w:pPr>
      <w:ind w:firstLine="480"/>
    </w:pPr>
    <w:rPr>
      <w:rFonts w:cs="Times New Roman"/>
      <w:color w:val="000000"/>
      <w:kern w:val="0"/>
      <w:szCs w:val="24"/>
    </w:rPr>
  </w:style>
  <w:style w:type="character" w:customStyle="1" w:styleId="201">
    <w:name w:val="标题 字符"/>
    <w:basedOn w:val="44"/>
    <w:qFormat/>
    <w:uiPriority w:val="0"/>
    <w:rPr>
      <w:rFonts w:asciiTheme="majorHAnsi" w:hAnsiTheme="majorHAnsi" w:eastAsiaTheme="majorEastAsia" w:cstheme="majorBidi"/>
      <w:b/>
      <w:bCs/>
      <w:kern w:val="2"/>
      <w:sz w:val="32"/>
      <w:szCs w:val="32"/>
    </w:rPr>
  </w:style>
  <w:style w:type="paragraph" w:customStyle="1" w:styleId="202">
    <w:name w:val="Char1"/>
    <w:basedOn w:val="1"/>
    <w:qFormat/>
    <w:uiPriority w:val="0"/>
    <w:pPr>
      <w:snapToGrid w:val="0"/>
      <w:spacing w:line="440" w:lineRule="exact"/>
    </w:pPr>
    <w:rPr>
      <w:rFonts w:cs="Times New Roman"/>
      <w:szCs w:val="24"/>
    </w:rPr>
  </w:style>
  <w:style w:type="paragraph" w:customStyle="1" w:styleId="203">
    <w:name w:val="Char Char Char Char Char Char"/>
    <w:basedOn w:val="1"/>
    <w:qFormat/>
    <w:uiPriority w:val="0"/>
    <w:pPr>
      <w:spacing w:line="240" w:lineRule="atLeast"/>
      <w:ind w:left="420" w:firstLine="420" w:firstLineChars="0"/>
    </w:pPr>
    <w:rPr>
      <w:rFonts w:cs="Times New Roman"/>
      <w:kern w:val="0"/>
      <w:sz w:val="21"/>
      <w:szCs w:val="21"/>
    </w:rPr>
  </w:style>
  <w:style w:type="character" w:customStyle="1" w:styleId="204">
    <w:name w:val="apple-converted-space"/>
    <w:basedOn w:val="44"/>
    <w:qFormat/>
    <w:uiPriority w:val="0"/>
  </w:style>
  <w:style w:type="paragraph" w:customStyle="1" w:styleId="205">
    <w:name w:val="reader-word-layer"/>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206">
    <w:name w:val="样式 宋体 + (西文) ˎ̥"/>
    <w:basedOn w:val="1"/>
    <w:link w:val="207"/>
    <w:qFormat/>
    <w:uiPriority w:val="0"/>
    <w:pPr>
      <w:widowControl/>
      <w:spacing w:line="460" w:lineRule="exact"/>
      <w:ind w:firstLine="510" w:firstLineChars="0"/>
      <w:jc w:val="left"/>
    </w:pPr>
    <w:rPr>
      <w:rFonts w:ascii="ˎ̥" w:hAnsi="ˎ̥" w:cs="Times New Roman"/>
      <w:kern w:val="0"/>
      <w:szCs w:val="20"/>
      <w:lang w:val="zh-CN"/>
    </w:rPr>
  </w:style>
  <w:style w:type="character" w:customStyle="1" w:styleId="207">
    <w:name w:val="样式 宋体 + (西文) ˎ̥ Char1"/>
    <w:link w:val="206"/>
    <w:qFormat/>
    <w:uiPriority w:val="0"/>
    <w:rPr>
      <w:rFonts w:ascii="ˎ̥" w:hAnsi="ˎ̥"/>
      <w:sz w:val="24"/>
      <w:lang w:val="zh-CN" w:eastAsia="zh-CN"/>
    </w:rPr>
  </w:style>
  <w:style w:type="paragraph" w:customStyle="1" w:styleId="208">
    <w:name w:val="font9"/>
    <w:basedOn w:val="1"/>
    <w:qFormat/>
    <w:uiPriority w:val="0"/>
    <w:pPr>
      <w:widowControl/>
      <w:spacing w:before="100" w:beforeAutospacing="1" w:after="100" w:afterAutospacing="1" w:line="240" w:lineRule="auto"/>
      <w:ind w:firstLine="0" w:firstLineChars="0"/>
      <w:jc w:val="left"/>
    </w:pPr>
    <w:rPr>
      <w:rFonts w:ascii="宋体" w:hAnsi="宋体" w:cs="宋体"/>
      <w:kern w:val="0"/>
      <w:sz w:val="18"/>
      <w:szCs w:val="18"/>
    </w:rPr>
  </w:style>
  <w:style w:type="paragraph" w:customStyle="1" w:styleId="209">
    <w:name w:val="font10"/>
    <w:basedOn w:val="1"/>
    <w:qFormat/>
    <w:uiPriority w:val="0"/>
    <w:pPr>
      <w:widowControl/>
      <w:spacing w:before="100" w:beforeAutospacing="1" w:after="100" w:afterAutospacing="1" w:line="240" w:lineRule="auto"/>
      <w:ind w:firstLine="0" w:firstLineChars="0"/>
      <w:jc w:val="left"/>
    </w:pPr>
    <w:rPr>
      <w:rFonts w:ascii="宋体" w:hAnsi="宋体" w:cs="宋体"/>
      <w:color w:val="000000"/>
      <w:kern w:val="0"/>
      <w:sz w:val="18"/>
      <w:szCs w:val="18"/>
    </w:rPr>
  </w:style>
  <w:style w:type="paragraph" w:customStyle="1" w:styleId="210">
    <w:name w:val="xl69"/>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pPr>
    <w:rPr>
      <w:rFonts w:cs="Times New Roman"/>
      <w:b/>
      <w:bCs/>
      <w:color w:val="000000"/>
      <w:kern w:val="0"/>
      <w:sz w:val="18"/>
      <w:szCs w:val="18"/>
    </w:rPr>
  </w:style>
  <w:style w:type="paragraph" w:customStyle="1" w:styleId="211">
    <w:name w:val="xl70"/>
    <w:basedOn w:val="1"/>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212">
    <w:name w:val="xl71"/>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color w:val="000000"/>
      <w:kern w:val="0"/>
      <w:sz w:val="18"/>
      <w:szCs w:val="18"/>
    </w:rPr>
  </w:style>
  <w:style w:type="paragraph" w:customStyle="1" w:styleId="213">
    <w:name w:val="xl72"/>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pPr>
    <w:rPr>
      <w:rFonts w:cs="Times New Roman"/>
      <w:color w:val="000000"/>
      <w:kern w:val="0"/>
      <w:sz w:val="18"/>
      <w:szCs w:val="18"/>
    </w:rPr>
  </w:style>
  <w:style w:type="paragraph" w:customStyle="1" w:styleId="214">
    <w:name w:val="xl73"/>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215">
    <w:name w:val="xl74"/>
    <w:basedOn w:val="1"/>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jc w:val="center"/>
    </w:pPr>
    <w:rPr>
      <w:rFonts w:cs="Times New Roman"/>
      <w:kern w:val="0"/>
      <w:sz w:val="18"/>
      <w:szCs w:val="18"/>
    </w:rPr>
  </w:style>
  <w:style w:type="paragraph" w:customStyle="1" w:styleId="216">
    <w:name w:val="xl75"/>
    <w:basedOn w:val="1"/>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pPr>
    <w:rPr>
      <w:rFonts w:cs="Times New Roman"/>
      <w:color w:val="000000"/>
      <w:kern w:val="0"/>
      <w:sz w:val="18"/>
      <w:szCs w:val="18"/>
    </w:rPr>
  </w:style>
  <w:style w:type="paragraph" w:customStyle="1" w:styleId="217">
    <w:name w:val="xl76"/>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pPr>
    <w:rPr>
      <w:rFonts w:ascii="宋体" w:hAnsi="宋体" w:cs="宋体"/>
      <w:color w:val="000000"/>
      <w:kern w:val="0"/>
      <w:sz w:val="18"/>
      <w:szCs w:val="18"/>
    </w:rPr>
  </w:style>
  <w:style w:type="paragraph" w:customStyle="1" w:styleId="218">
    <w:name w:val="xl77"/>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pPr>
    <w:rPr>
      <w:rFonts w:cs="Times New Roman"/>
      <w:color w:val="000000"/>
      <w:kern w:val="0"/>
      <w:sz w:val="18"/>
      <w:szCs w:val="18"/>
    </w:rPr>
  </w:style>
  <w:style w:type="paragraph" w:customStyle="1" w:styleId="219">
    <w:name w:val="xl78"/>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pPr>
    <w:rPr>
      <w:rFonts w:cs="Times New Roman"/>
      <w:kern w:val="0"/>
      <w:sz w:val="18"/>
      <w:szCs w:val="18"/>
    </w:rPr>
  </w:style>
  <w:style w:type="paragraph" w:customStyle="1" w:styleId="220">
    <w:name w:val="xl79"/>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pPr>
    <w:rPr>
      <w:rFonts w:cs="Times New Roman"/>
      <w:kern w:val="0"/>
      <w:sz w:val="18"/>
      <w:szCs w:val="18"/>
    </w:rPr>
  </w:style>
  <w:style w:type="paragraph" w:customStyle="1" w:styleId="221">
    <w:name w:val="xl80"/>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pPr>
    <w:rPr>
      <w:rFonts w:ascii="宋体" w:hAnsi="宋体" w:cs="宋体"/>
      <w:kern w:val="0"/>
      <w:sz w:val="18"/>
      <w:szCs w:val="18"/>
    </w:rPr>
  </w:style>
  <w:style w:type="paragraph" w:customStyle="1" w:styleId="222">
    <w:name w:val="xl81"/>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pPr>
    <w:rPr>
      <w:rFonts w:cs="Times New Roman"/>
      <w:color w:val="FF0000"/>
      <w:kern w:val="0"/>
      <w:sz w:val="18"/>
      <w:szCs w:val="18"/>
    </w:rPr>
  </w:style>
  <w:style w:type="paragraph" w:customStyle="1" w:styleId="223">
    <w:name w:val="xl82"/>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kern w:val="0"/>
      <w:sz w:val="18"/>
      <w:szCs w:val="18"/>
    </w:rPr>
  </w:style>
  <w:style w:type="paragraph" w:customStyle="1" w:styleId="224">
    <w:name w:val="xl83"/>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pPr>
    <w:rPr>
      <w:rFonts w:ascii="宋体" w:hAnsi="宋体" w:cs="宋体"/>
      <w:b/>
      <w:bCs/>
      <w:color w:val="000000"/>
      <w:kern w:val="0"/>
      <w:sz w:val="18"/>
      <w:szCs w:val="18"/>
    </w:rPr>
  </w:style>
  <w:style w:type="paragraph" w:customStyle="1" w:styleId="225">
    <w:name w:val="xl84"/>
    <w:basedOn w:val="1"/>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jc w:val="center"/>
      <w:textAlignment w:val="bottom"/>
    </w:pPr>
    <w:rPr>
      <w:rFonts w:cs="Times New Roman"/>
      <w:color w:val="000000"/>
      <w:kern w:val="0"/>
      <w:sz w:val="18"/>
      <w:szCs w:val="18"/>
    </w:rPr>
  </w:style>
  <w:style w:type="paragraph" w:customStyle="1" w:styleId="226">
    <w:name w:val="xl85"/>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textAlignment w:val="bottom"/>
    </w:pPr>
    <w:rPr>
      <w:rFonts w:ascii="宋体" w:hAnsi="宋体" w:cs="宋体"/>
      <w:color w:val="000000"/>
      <w:kern w:val="0"/>
      <w:sz w:val="18"/>
      <w:szCs w:val="18"/>
    </w:rPr>
  </w:style>
  <w:style w:type="paragraph" w:customStyle="1" w:styleId="227">
    <w:name w:val="xl86"/>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textAlignment w:val="bottom"/>
    </w:pPr>
    <w:rPr>
      <w:rFonts w:ascii="宋体" w:hAnsi="宋体" w:cs="宋体"/>
      <w:color w:val="000000"/>
      <w:kern w:val="0"/>
      <w:sz w:val="18"/>
      <w:szCs w:val="18"/>
    </w:rPr>
  </w:style>
  <w:style w:type="paragraph" w:customStyle="1" w:styleId="228">
    <w:name w:val="xl87"/>
    <w:basedOn w:val="1"/>
    <w:qFormat/>
    <w:uiPriority w:val="0"/>
    <w:pPr>
      <w:widowControl/>
      <w:pBdr>
        <w:top w:val="single" w:color="auto" w:sz="8" w:space="0"/>
        <w:left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color w:val="000000"/>
      <w:kern w:val="0"/>
      <w:sz w:val="18"/>
      <w:szCs w:val="18"/>
    </w:rPr>
  </w:style>
  <w:style w:type="paragraph" w:customStyle="1" w:styleId="229">
    <w:name w:val="xl88"/>
    <w:basedOn w:val="1"/>
    <w:qFormat/>
    <w:uiPriority w:val="0"/>
    <w:pPr>
      <w:widowControl/>
      <w:pBdr>
        <w:left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color w:val="000000"/>
      <w:kern w:val="0"/>
      <w:sz w:val="18"/>
      <w:szCs w:val="18"/>
    </w:rPr>
  </w:style>
  <w:style w:type="paragraph" w:customStyle="1" w:styleId="230">
    <w:name w:val="xl89"/>
    <w:basedOn w:val="1"/>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color w:val="000000"/>
      <w:kern w:val="0"/>
      <w:sz w:val="18"/>
      <w:szCs w:val="18"/>
    </w:rPr>
  </w:style>
  <w:style w:type="paragraph" w:customStyle="1" w:styleId="231">
    <w:name w:val="xl90"/>
    <w:basedOn w:val="1"/>
    <w:qFormat/>
    <w:uiPriority w:val="0"/>
    <w:pPr>
      <w:widowControl/>
      <w:pBdr>
        <w:top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color w:val="000000"/>
      <w:kern w:val="0"/>
      <w:sz w:val="18"/>
      <w:szCs w:val="18"/>
    </w:rPr>
  </w:style>
  <w:style w:type="paragraph" w:customStyle="1" w:styleId="232">
    <w:name w:val="xl91"/>
    <w:basedOn w:val="1"/>
    <w:qFormat/>
    <w:uiPriority w:val="0"/>
    <w:pPr>
      <w:widowControl/>
      <w:pBdr>
        <w:top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color w:val="000000"/>
      <w:kern w:val="0"/>
      <w:sz w:val="18"/>
      <w:szCs w:val="18"/>
    </w:rPr>
  </w:style>
  <w:style w:type="paragraph" w:customStyle="1" w:styleId="233">
    <w:name w:val="xl92"/>
    <w:basedOn w:val="1"/>
    <w:qFormat/>
    <w:uiPriority w:val="0"/>
    <w:pPr>
      <w:widowControl/>
      <w:pBdr>
        <w:top w:val="single" w:color="auto" w:sz="8" w:space="0"/>
        <w:left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color w:val="000000"/>
      <w:kern w:val="0"/>
      <w:sz w:val="18"/>
      <w:szCs w:val="18"/>
    </w:rPr>
  </w:style>
  <w:style w:type="paragraph" w:customStyle="1" w:styleId="234">
    <w:name w:val="xl93"/>
    <w:basedOn w:val="1"/>
    <w:qFormat/>
    <w:uiPriority w:val="0"/>
    <w:pPr>
      <w:widowControl/>
      <w:pBdr>
        <w:left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color w:val="000000"/>
      <w:kern w:val="0"/>
      <w:sz w:val="18"/>
      <w:szCs w:val="18"/>
    </w:rPr>
  </w:style>
  <w:style w:type="paragraph" w:customStyle="1" w:styleId="235">
    <w:name w:val="xl94"/>
    <w:basedOn w:val="1"/>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color w:val="000000"/>
      <w:kern w:val="0"/>
      <w:sz w:val="18"/>
      <w:szCs w:val="18"/>
    </w:rPr>
  </w:style>
  <w:style w:type="paragraph" w:customStyle="1" w:styleId="236">
    <w:name w:val="xl95"/>
    <w:basedOn w:val="1"/>
    <w:qFormat/>
    <w:uiPriority w:val="0"/>
    <w:pPr>
      <w:widowControl/>
      <w:pBdr>
        <w:top w:val="single" w:color="auto" w:sz="8" w:space="0"/>
      </w:pBdr>
      <w:spacing w:before="100" w:beforeAutospacing="1" w:after="100" w:afterAutospacing="1" w:line="240" w:lineRule="auto"/>
      <w:ind w:firstLine="0" w:firstLineChars="0"/>
      <w:jc w:val="center"/>
    </w:pPr>
    <w:rPr>
      <w:rFonts w:ascii="宋体" w:hAnsi="宋体" w:cs="宋体"/>
      <w:color w:val="000000"/>
      <w:kern w:val="0"/>
      <w:sz w:val="18"/>
      <w:szCs w:val="18"/>
    </w:rPr>
  </w:style>
  <w:style w:type="paragraph" w:customStyle="1" w:styleId="237">
    <w:name w:val="xl96"/>
    <w:basedOn w:val="1"/>
    <w:qFormat/>
    <w:uiPriority w:val="0"/>
    <w:pPr>
      <w:widowControl/>
      <w:pBdr>
        <w:top w:val="single" w:color="auto" w:sz="8" w:space="0"/>
        <w:left w:val="single" w:color="auto" w:sz="8" w:space="0"/>
      </w:pBdr>
      <w:spacing w:before="100" w:beforeAutospacing="1" w:after="100" w:afterAutospacing="1" w:line="240" w:lineRule="auto"/>
      <w:ind w:firstLine="0" w:firstLineChars="0"/>
      <w:jc w:val="center"/>
    </w:pPr>
    <w:rPr>
      <w:rFonts w:ascii="宋体" w:hAnsi="宋体" w:cs="宋体"/>
      <w:color w:val="000000"/>
      <w:kern w:val="0"/>
      <w:sz w:val="18"/>
      <w:szCs w:val="18"/>
    </w:rPr>
  </w:style>
  <w:style w:type="paragraph" w:customStyle="1" w:styleId="238">
    <w:name w:val="xl97"/>
    <w:basedOn w:val="1"/>
    <w:qFormat/>
    <w:uiPriority w:val="0"/>
    <w:pPr>
      <w:widowControl/>
      <w:pBdr>
        <w:left w:val="single" w:color="auto" w:sz="8" w:space="0"/>
        <w:bottom w:val="single" w:color="auto" w:sz="8" w:space="0"/>
      </w:pBdr>
      <w:spacing w:before="100" w:beforeAutospacing="1" w:after="100" w:afterAutospacing="1" w:line="240" w:lineRule="auto"/>
      <w:ind w:firstLine="0" w:firstLineChars="0"/>
      <w:jc w:val="center"/>
    </w:pPr>
    <w:rPr>
      <w:rFonts w:ascii="宋体" w:hAnsi="宋体" w:cs="宋体"/>
      <w:color w:val="000000"/>
      <w:kern w:val="0"/>
      <w:sz w:val="18"/>
      <w:szCs w:val="18"/>
    </w:rPr>
  </w:style>
  <w:style w:type="paragraph" w:customStyle="1" w:styleId="239">
    <w:name w:val="xl98"/>
    <w:basedOn w:val="1"/>
    <w:qFormat/>
    <w:uiPriority w:val="0"/>
    <w:pPr>
      <w:widowControl/>
      <w:pBdr>
        <w:bottom w:val="single" w:color="auto" w:sz="8" w:space="0"/>
      </w:pBdr>
      <w:spacing w:before="100" w:beforeAutospacing="1" w:after="100" w:afterAutospacing="1" w:line="240" w:lineRule="auto"/>
      <w:ind w:firstLine="0" w:firstLineChars="0"/>
      <w:jc w:val="center"/>
    </w:pPr>
    <w:rPr>
      <w:rFonts w:ascii="宋体" w:hAnsi="宋体" w:cs="宋体"/>
      <w:color w:val="000000"/>
      <w:kern w:val="0"/>
      <w:sz w:val="18"/>
      <w:szCs w:val="18"/>
    </w:rPr>
  </w:style>
  <w:style w:type="paragraph" w:customStyle="1" w:styleId="240">
    <w:name w:val="xl99"/>
    <w:basedOn w:val="1"/>
    <w:qFormat/>
    <w:uiPriority w:val="0"/>
    <w:pPr>
      <w:widowControl/>
      <w:pBdr>
        <w:top w:val="single" w:color="auto" w:sz="8" w:space="0"/>
        <w:left w:val="single" w:color="auto" w:sz="8" w:space="0"/>
      </w:pBdr>
      <w:spacing w:before="100" w:beforeAutospacing="1" w:after="100" w:afterAutospacing="1" w:line="240" w:lineRule="auto"/>
      <w:ind w:firstLine="0" w:firstLineChars="0"/>
      <w:jc w:val="center"/>
    </w:pPr>
    <w:rPr>
      <w:rFonts w:ascii="宋体" w:hAnsi="宋体" w:cs="宋体"/>
      <w:color w:val="000000"/>
      <w:kern w:val="0"/>
      <w:sz w:val="18"/>
      <w:szCs w:val="18"/>
    </w:rPr>
  </w:style>
  <w:style w:type="paragraph" w:customStyle="1" w:styleId="241">
    <w:name w:val="xl100"/>
    <w:basedOn w:val="1"/>
    <w:qFormat/>
    <w:uiPriority w:val="0"/>
    <w:pPr>
      <w:widowControl/>
      <w:pBdr>
        <w:left w:val="single" w:color="auto" w:sz="8" w:space="0"/>
        <w:bottom w:val="single" w:color="auto" w:sz="8" w:space="0"/>
      </w:pBdr>
      <w:spacing w:before="100" w:beforeAutospacing="1" w:after="100" w:afterAutospacing="1" w:line="240" w:lineRule="auto"/>
      <w:ind w:firstLine="0" w:firstLineChars="0"/>
      <w:jc w:val="center"/>
    </w:pPr>
    <w:rPr>
      <w:rFonts w:ascii="宋体" w:hAnsi="宋体" w:cs="宋体"/>
      <w:color w:val="000000"/>
      <w:kern w:val="0"/>
      <w:sz w:val="18"/>
      <w:szCs w:val="18"/>
    </w:rPr>
  </w:style>
  <w:style w:type="paragraph" w:customStyle="1" w:styleId="242">
    <w:name w:val="xl101"/>
    <w:basedOn w:val="1"/>
    <w:qFormat/>
    <w:uiPriority w:val="0"/>
    <w:pPr>
      <w:widowControl/>
      <w:pBdr>
        <w:top w:val="single" w:color="auto" w:sz="8" w:space="0"/>
        <w:left w:val="single" w:color="auto" w:sz="8" w:space="0"/>
        <w:right w:val="single" w:color="auto" w:sz="8" w:space="0"/>
      </w:pBdr>
      <w:spacing w:before="100" w:beforeAutospacing="1" w:after="100" w:afterAutospacing="1" w:line="240" w:lineRule="auto"/>
      <w:ind w:firstLine="0" w:firstLineChars="0"/>
    </w:pPr>
    <w:rPr>
      <w:rFonts w:ascii="宋体" w:hAnsi="宋体" w:cs="宋体"/>
      <w:color w:val="000000"/>
      <w:kern w:val="0"/>
      <w:sz w:val="18"/>
      <w:szCs w:val="18"/>
    </w:rPr>
  </w:style>
  <w:style w:type="paragraph" w:customStyle="1" w:styleId="243">
    <w:name w:val="xl102"/>
    <w:basedOn w:val="1"/>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pPr>
    <w:rPr>
      <w:rFonts w:ascii="宋体" w:hAnsi="宋体" w:cs="宋体"/>
      <w:color w:val="000000"/>
      <w:kern w:val="0"/>
      <w:sz w:val="18"/>
      <w:szCs w:val="18"/>
    </w:rPr>
  </w:style>
  <w:style w:type="paragraph" w:customStyle="1" w:styleId="244">
    <w:name w:val="xl103"/>
    <w:basedOn w:val="1"/>
    <w:qFormat/>
    <w:uiPriority w:val="0"/>
    <w:pPr>
      <w:widowControl/>
      <w:pBdr>
        <w:top w:val="single" w:color="auto" w:sz="8" w:space="0"/>
        <w:left w:val="single" w:color="auto" w:sz="8" w:space="0"/>
        <w:right w:val="single" w:color="auto" w:sz="8" w:space="0"/>
      </w:pBdr>
      <w:spacing w:before="100" w:beforeAutospacing="1" w:after="100" w:afterAutospacing="1" w:line="240" w:lineRule="auto"/>
      <w:ind w:firstLine="0" w:firstLineChars="0"/>
      <w:textAlignment w:val="top"/>
    </w:pPr>
    <w:rPr>
      <w:rFonts w:cs="Times New Roman"/>
      <w:color w:val="000000"/>
      <w:kern w:val="0"/>
      <w:sz w:val="18"/>
      <w:szCs w:val="18"/>
    </w:rPr>
  </w:style>
  <w:style w:type="paragraph" w:customStyle="1" w:styleId="245">
    <w:name w:val="xl104"/>
    <w:basedOn w:val="1"/>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textAlignment w:val="top"/>
    </w:pPr>
    <w:rPr>
      <w:rFonts w:cs="Times New Roman"/>
      <w:color w:val="000000"/>
      <w:kern w:val="0"/>
      <w:sz w:val="18"/>
      <w:szCs w:val="18"/>
    </w:rPr>
  </w:style>
  <w:style w:type="paragraph" w:customStyle="1" w:styleId="246">
    <w:name w:val="xl105"/>
    <w:basedOn w:val="1"/>
    <w:qFormat/>
    <w:uiPriority w:val="0"/>
    <w:pPr>
      <w:widowControl/>
      <w:pBdr>
        <w:top w:val="single" w:color="auto" w:sz="8" w:space="0"/>
        <w:left w:val="single" w:color="auto" w:sz="8" w:space="0"/>
        <w:right w:val="single" w:color="auto" w:sz="8" w:space="0"/>
      </w:pBdr>
      <w:spacing w:before="100" w:beforeAutospacing="1" w:after="100" w:afterAutospacing="1" w:line="240" w:lineRule="auto"/>
      <w:ind w:firstLine="0" w:firstLineChars="0"/>
      <w:jc w:val="center"/>
      <w:textAlignment w:val="top"/>
    </w:pPr>
    <w:rPr>
      <w:rFonts w:ascii="宋体" w:hAnsi="宋体" w:cs="宋体"/>
      <w:color w:val="000000"/>
      <w:kern w:val="0"/>
      <w:sz w:val="18"/>
      <w:szCs w:val="18"/>
    </w:rPr>
  </w:style>
  <w:style w:type="paragraph" w:customStyle="1" w:styleId="247">
    <w:name w:val="xl106"/>
    <w:basedOn w:val="1"/>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jc w:val="center"/>
      <w:textAlignment w:val="top"/>
    </w:pPr>
    <w:rPr>
      <w:rFonts w:ascii="宋体" w:hAnsi="宋体" w:cs="宋体"/>
      <w:color w:val="000000"/>
      <w:kern w:val="0"/>
      <w:sz w:val="18"/>
      <w:szCs w:val="18"/>
    </w:rPr>
  </w:style>
  <w:style w:type="paragraph" w:customStyle="1" w:styleId="248">
    <w:name w:val="xl107"/>
    <w:basedOn w:val="1"/>
    <w:qFormat/>
    <w:uiPriority w:val="0"/>
    <w:pPr>
      <w:widowControl/>
      <w:pBdr>
        <w:top w:val="single" w:color="auto" w:sz="8" w:space="0"/>
        <w:left w:val="single" w:color="auto" w:sz="8" w:space="0"/>
        <w:right w:val="single" w:color="auto" w:sz="8" w:space="0"/>
      </w:pBdr>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249">
    <w:name w:val="xl108"/>
    <w:basedOn w:val="1"/>
    <w:qFormat/>
    <w:uiPriority w:val="0"/>
    <w:pPr>
      <w:widowControl/>
      <w:pBdr>
        <w:top w:val="single" w:color="auto" w:sz="8" w:space="0"/>
        <w:left w:val="single" w:color="auto" w:sz="8" w:space="0"/>
        <w:right w:val="single" w:color="auto" w:sz="8" w:space="0"/>
      </w:pBdr>
      <w:spacing w:before="100" w:beforeAutospacing="1" w:after="100" w:afterAutospacing="1" w:line="240" w:lineRule="auto"/>
      <w:ind w:firstLine="0" w:firstLineChars="0"/>
    </w:pPr>
    <w:rPr>
      <w:rFonts w:ascii="宋体" w:hAnsi="宋体" w:cs="宋体"/>
      <w:color w:val="000000"/>
      <w:kern w:val="0"/>
      <w:sz w:val="18"/>
      <w:szCs w:val="18"/>
    </w:rPr>
  </w:style>
  <w:style w:type="paragraph" w:customStyle="1" w:styleId="250">
    <w:name w:val="xl109"/>
    <w:basedOn w:val="1"/>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pPr>
    <w:rPr>
      <w:rFonts w:ascii="宋体" w:hAnsi="宋体" w:cs="宋体"/>
      <w:color w:val="000000"/>
      <w:kern w:val="0"/>
      <w:sz w:val="18"/>
      <w:szCs w:val="18"/>
    </w:rPr>
  </w:style>
  <w:style w:type="paragraph" w:customStyle="1" w:styleId="251">
    <w:name w:val="xl110"/>
    <w:basedOn w:val="1"/>
    <w:qFormat/>
    <w:uiPriority w:val="0"/>
    <w:pPr>
      <w:widowControl/>
      <w:pBdr>
        <w:top w:val="single" w:color="auto" w:sz="8" w:space="0"/>
        <w:left w:val="single" w:color="auto" w:sz="8" w:space="0"/>
        <w:right w:val="single" w:color="auto" w:sz="8" w:space="0"/>
      </w:pBdr>
      <w:spacing w:before="100" w:beforeAutospacing="1" w:after="100" w:afterAutospacing="1" w:line="240" w:lineRule="auto"/>
      <w:ind w:firstLine="0" w:firstLineChars="0"/>
    </w:pPr>
    <w:rPr>
      <w:rFonts w:cs="Times New Roman"/>
      <w:kern w:val="0"/>
      <w:sz w:val="18"/>
      <w:szCs w:val="18"/>
    </w:rPr>
  </w:style>
  <w:style w:type="character" w:customStyle="1" w:styleId="252">
    <w:name w:val="HTML 预设格式 字符1"/>
    <w:semiHidden/>
    <w:qFormat/>
    <w:uiPriority w:val="99"/>
    <w:rPr>
      <w:rFonts w:ascii="宋体" w:hAnsi="宋体" w:eastAsia="宋体" w:cs="Times New Roman"/>
      <w:kern w:val="0"/>
      <w:sz w:val="24"/>
      <w:szCs w:val="24"/>
      <w:lang w:val="zh-CN" w:eastAsia="zh-CN"/>
    </w:rPr>
  </w:style>
  <w:style w:type="character" w:customStyle="1" w:styleId="253">
    <w:name w:val="apple-style-span"/>
    <w:basedOn w:val="44"/>
    <w:qFormat/>
    <w:uiPriority w:val="0"/>
  </w:style>
  <w:style w:type="paragraph" w:customStyle="1" w:styleId="254">
    <w:name w:val="Char Char14"/>
    <w:basedOn w:val="16"/>
    <w:qFormat/>
    <w:uiPriority w:val="0"/>
    <w:pPr>
      <w:shd w:val="clear" w:color="auto" w:fill="000080"/>
      <w:adjustRightInd w:val="0"/>
      <w:spacing w:line="436" w:lineRule="exact"/>
      <w:ind w:left="357"/>
      <w:jc w:val="left"/>
      <w:outlineLvl w:val="3"/>
    </w:pPr>
    <w:rPr>
      <w:rFonts w:ascii="Tahoma" w:hAnsi="Tahoma" w:cs="Times New Roman"/>
      <w:b/>
      <w:sz w:val="24"/>
      <w:szCs w:val="28"/>
    </w:rPr>
  </w:style>
  <w:style w:type="character" w:customStyle="1" w:styleId="255">
    <w:name w:val="headline-content"/>
    <w:qFormat/>
    <w:uiPriority w:val="0"/>
  </w:style>
  <w:style w:type="paragraph" w:customStyle="1" w:styleId="256">
    <w:name w:val="pic-info"/>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257">
    <w:name w:val="正文yang"/>
    <w:basedOn w:val="1"/>
    <w:link w:val="258"/>
    <w:qFormat/>
    <w:uiPriority w:val="0"/>
    <w:pPr>
      <w:snapToGrid w:val="0"/>
      <w:ind w:firstLine="480"/>
    </w:pPr>
    <w:rPr>
      <w:rFonts w:ascii="宋体" w:hAnsi="宋体" w:cs="Times New Roman"/>
      <w:color w:val="000000"/>
      <w:szCs w:val="20"/>
      <w:lang w:val="zh-CN"/>
    </w:rPr>
  </w:style>
  <w:style w:type="character" w:customStyle="1" w:styleId="258">
    <w:name w:val="正文yang Char"/>
    <w:link w:val="257"/>
    <w:qFormat/>
    <w:uiPriority w:val="0"/>
    <w:rPr>
      <w:rFonts w:ascii="宋体" w:hAnsi="宋体"/>
      <w:color w:val="000000"/>
      <w:kern w:val="2"/>
      <w:sz w:val="24"/>
      <w:lang w:val="zh-CN" w:eastAsia="zh-CN"/>
    </w:rPr>
  </w:style>
  <w:style w:type="paragraph" w:customStyle="1" w:styleId="259">
    <w:name w:val="p0"/>
    <w:basedOn w:val="1"/>
    <w:qFormat/>
    <w:uiPriority w:val="0"/>
    <w:pPr>
      <w:widowControl/>
      <w:spacing w:line="560" w:lineRule="exact"/>
      <w:ind w:firstLine="0" w:firstLineChars="0"/>
    </w:pPr>
    <w:rPr>
      <w:rFonts w:ascii="Calibri" w:hAnsi="Calibri" w:cs="宋体"/>
      <w:kern w:val="0"/>
      <w:sz w:val="21"/>
      <w:szCs w:val="21"/>
    </w:rPr>
  </w:style>
  <w:style w:type="paragraph" w:customStyle="1" w:styleId="260">
    <w:name w:val="1"/>
    <w:unhideWhenUsed/>
    <w:qFormat/>
    <w:uiPriority w:val="99"/>
    <w:pPr>
      <w:widowControl w:val="0"/>
      <w:jc w:val="both"/>
    </w:pPr>
    <w:rPr>
      <w:rFonts w:ascii="Times New Roman" w:hAnsi="Times New Roman" w:eastAsia="宋体" w:cs="Times New Roman"/>
      <w:kern w:val="2"/>
      <w:sz w:val="21"/>
      <w:szCs w:val="24"/>
      <w:lang w:val="en-US" w:eastAsia="zh-CN" w:bidi="ar-SA"/>
    </w:rPr>
  </w:style>
  <w:style w:type="character" w:customStyle="1" w:styleId="261">
    <w:name w:val="font141"/>
    <w:basedOn w:val="44"/>
    <w:qFormat/>
    <w:uiPriority w:val="0"/>
    <w:rPr>
      <w:rFonts w:hint="eastAsia" w:ascii="宋体" w:hAnsi="宋体" w:eastAsia="宋体" w:cs="宋体"/>
      <w:b/>
      <w:color w:val="000000"/>
      <w:sz w:val="21"/>
      <w:szCs w:val="21"/>
      <w:u w:val="none"/>
    </w:rPr>
  </w:style>
  <w:style w:type="character" w:customStyle="1" w:styleId="262">
    <w:name w:val="font91"/>
    <w:basedOn w:val="44"/>
    <w:qFormat/>
    <w:uiPriority w:val="0"/>
    <w:rPr>
      <w:rFonts w:hint="eastAsia" w:ascii="宋体" w:hAnsi="宋体" w:eastAsia="宋体" w:cs="宋体"/>
      <w:b/>
      <w:color w:val="FF0000"/>
      <w:sz w:val="21"/>
      <w:szCs w:val="21"/>
      <w:u w:val="none"/>
    </w:rPr>
  </w:style>
  <w:style w:type="character" w:customStyle="1" w:styleId="263">
    <w:name w:val="font61"/>
    <w:basedOn w:val="44"/>
    <w:qFormat/>
    <w:uiPriority w:val="0"/>
    <w:rPr>
      <w:rFonts w:hint="default" w:ascii="Times New Roman" w:hAnsi="Times New Roman" w:cs="Times New Roman"/>
      <w:b/>
      <w:color w:val="FF0000"/>
      <w:sz w:val="21"/>
      <w:szCs w:val="21"/>
      <w:u w:val="none"/>
    </w:rPr>
  </w:style>
  <w:style w:type="character" w:customStyle="1" w:styleId="264">
    <w:name w:val="font71"/>
    <w:basedOn w:val="44"/>
    <w:qFormat/>
    <w:uiPriority w:val="0"/>
    <w:rPr>
      <w:rFonts w:hint="eastAsia" w:ascii="宋体" w:hAnsi="宋体" w:eastAsia="宋体" w:cs="宋体"/>
      <w:color w:val="000000"/>
      <w:sz w:val="21"/>
      <w:szCs w:val="21"/>
      <w:u w:val="none"/>
    </w:rPr>
  </w:style>
  <w:style w:type="character" w:customStyle="1" w:styleId="265">
    <w:name w:val="font131"/>
    <w:basedOn w:val="44"/>
    <w:qFormat/>
    <w:uiPriority w:val="0"/>
    <w:rPr>
      <w:rFonts w:hint="default" w:ascii="Times New Roman" w:hAnsi="Times New Roman" w:cs="Times New Roman"/>
      <w:color w:val="000000"/>
      <w:sz w:val="21"/>
      <w:szCs w:val="21"/>
      <w:u w:val="none"/>
    </w:rPr>
  </w:style>
  <w:style w:type="paragraph" w:customStyle="1" w:styleId="266">
    <w:name w:val="Char"/>
    <w:basedOn w:val="1"/>
    <w:qFormat/>
    <w:uiPriority w:val="0"/>
    <w:pPr>
      <w:spacing w:line="240" w:lineRule="auto"/>
      <w:ind w:left="-48" w:firstLine="0" w:firstLineChars="0"/>
    </w:pPr>
    <w:rPr>
      <w:rFonts w:cs="Times New Roman"/>
      <w:sz w:val="21"/>
      <w:szCs w:val="24"/>
    </w:rPr>
  </w:style>
  <w:style w:type="paragraph" w:customStyle="1" w:styleId="267">
    <w:name w:val="00‘"/>
    <w:basedOn w:val="1"/>
    <w:qFormat/>
    <w:uiPriority w:val="0"/>
    <w:pPr>
      <w:adjustRightInd w:val="0"/>
      <w:ind w:firstLine="480"/>
      <w:jc w:val="left"/>
      <w:textAlignment w:val="baseline"/>
    </w:pPr>
    <w:rPr>
      <w:rFonts w:ascii="宋体" w:hAnsi="宋体" w:cs="Times New Roman"/>
      <w:kern w:val="0"/>
      <w:szCs w:val="24"/>
    </w:rPr>
  </w:style>
  <w:style w:type="paragraph" w:customStyle="1" w:styleId="268">
    <w:name w:val="表格"/>
    <w:basedOn w:val="1"/>
    <w:next w:val="1"/>
    <w:qFormat/>
    <w:uiPriority w:val="0"/>
    <w:pPr>
      <w:adjustRightInd w:val="0"/>
      <w:snapToGrid w:val="0"/>
      <w:spacing w:line="240" w:lineRule="auto"/>
      <w:ind w:left="-60" w:leftChars="-25" w:right="-60" w:rightChars="-25" w:firstLine="0" w:firstLineChars="0"/>
      <w:jc w:val="center"/>
      <w:textAlignment w:val="baseline"/>
    </w:pPr>
    <w:rPr>
      <w:rFonts w:cs="Times New Roman"/>
      <w:snapToGrid w:val="0"/>
      <w:spacing w:val="5"/>
      <w:kern w:val="0"/>
      <w:sz w:val="21"/>
      <w:szCs w:val="20"/>
    </w:rPr>
  </w:style>
  <w:style w:type="paragraph" w:customStyle="1" w:styleId="269">
    <w:name w:val="Char2"/>
    <w:basedOn w:val="1"/>
    <w:qFormat/>
    <w:uiPriority w:val="0"/>
    <w:rPr>
      <w:rFonts w:ascii="宋体" w:hAnsi="宋体" w:cs="宋体"/>
      <w:szCs w:val="24"/>
    </w:rPr>
  </w:style>
  <w:style w:type="paragraph" w:styleId="270">
    <w:name w:val="List Paragraph"/>
    <w:basedOn w:val="1"/>
    <w:qFormat/>
    <w:uiPriority w:val="34"/>
    <w:pPr>
      <w:ind w:firstLine="420"/>
    </w:pPr>
  </w:style>
  <w:style w:type="character" w:customStyle="1" w:styleId="271">
    <w:name w:val="正 文 Char"/>
    <w:link w:val="272"/>
    <w:qFormat/>
    <w:uiPriority w:val="0"/>
    <w:rPr>
      <w:kern w:val="2"/>
      <w:sz w:val="24"/>
      <w:szCs w:val="24"/>
    </w:rPr>
  </w:style>
  <w:style w:type="paragraph" w:customStyle="1" w:styleId="272">
    <w:name w:val="正 文"/>
    <w:basedOn w:val="18"/>
    <w:link w:val="271"/>
    <w:qFormat/>
    <w:uiPriority w:val="0"/>
    <w:pPr>
      <w:spacing w:beforeLines="25" w:after="0"/>
    </w:pPr>
    <w:rPr>
      <w:rFonts w:cs="Times New Roman"/>
      <w:szCs w:val="24"/>
    </w:rPr>
  </w:style>
  <w:style w:type="character" w:customStyle="1" w:styleId="273">
    <w:name w:val="页脚 Char1"/>
    <w:basedOn w:val="44"/>
    <w:semiHidden/>
    <w:qFormat/>
    <w:uiPriority w:val="99"/>
    <w:rPr>
      <w:rFonts w:cstheme="minorBidi"/>
      <w:kern w:val="2"/>
      <w:sz w:val="18"/>
      <w:szCs w:val="18"/>
    </w:rPr>
  </w:style>
  <w:style w:type="character" w:customStyle="1" w:styleId="274">
    <w:name w:val="页眉 Char1"/>
    <w:basedOn w:val="44"/>
    <w:semiHidden/>
    <w:qFormat/>
    <w:uiPriority w:val="99"/>
    <w:rPr>
      <w:rFonts w:cstheme="minorBidi"/>
      <w:kern w:val="2"/>
      <w:sz w:val="18"/>
      <w:szCs w:val="18"/>
    </w:rPr>
  </w:style>
  <w:style w:type="character" w:customStyle="1" w:styleId="275">
    <w:name w:val="正文缩进 字符"/>
    <w:link w:val="14"/>
    <w:qFormat/>
    <w:uiPriority w:val="0"/>
    <w:rPr>
      <w:rFonts w:cstheme="minorBidi"/>
      <w:kern w:val="2"/>
      <w:sz w:val="24"/>
      <w:szCs w:val="22"/>
    </w:rPr>
  </w:style>
  <w:style w:type="paragraph" w:customStyle="1" w:styleId="276">
    <w:name w:val="样式  + 四号 首行缩进:  2 字符"/>
    <w:basedOn w:val="1"/>
    <w:qFormat/>
    <w:uiPriority w:val="0"/>
    <w:pPr>
      <w:adjustRightInd w:val="0"/>
      <w:ind w:firstLine="560"/>
      <w:textAlignment w:val="baseline"/>
    </w:pPr>
    <w:rPr>
      <w:rFonts w:cs="Times New Roman"/>
      <w:szCs w:val="20"/>
    </w:rPr>
  </w:style>
  <w:style w:type="paragraph" w:customStyle="1" w:styleId="277">
    <w:name w:val="cardlist-value"/>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character" w:customStyle="1" w:styleId="278">
    <w:name w:val="description3"/>
    <w:qFormat/>
    <w:uiPriority w:val="0"/>
    <w:rPr>
      <w:rFonts w:hint="eastAsia" w:ascii="宋体" w:hAnsi="宋体" w:eastAsia="宋体" w:cs="宋体"/>
      <w:color w:val="555555"/>
      <w:sz w:val="18"/>
      <w:szCs w:val="18"/>
    </w:rPr>
  </w:style>
  <w:style w:type="character" w:customStyle="1" w:styleId="279">
    <w:name w:val="ask-title2"/>
    <w:qFormat/>
    <w:uiPriority w:val="0"/>
  </w:style>
  <w:style w:type="character" w:customStyle="1" w:styleId="280">
    <w:name w:val="纯文本 Char2"/>
    <w:semiHidden/>
    <w:qFormat/>
    <w:uiPriority w:val="99"/>
    <w:rPr>
      <w:rFonts w:ascii="宋体" w:hAnsi="Courier New" w:cs="Courier New"/>
      <w:kern w:val="2"/>
      <w:sz w:val="21"/>
      <w:szCs w:val="21"/>
    </w:rPr>
  </w:style>
  <w:style w:type="character" w:customStyle="1" w:styleId="281">
    <w:name w:val="文档结构图 Char2"/>
    <w:semiHidden/>
    <w:qFormat/>
    <w:uiPriority w:val="99"/>
    <w:rPr>
      <w:rFonts w:ascii="Microsoft YaHei UI" w:eastAsia="Microsoft YaHei UI"/>
      <w:kern w:val="2"/>
      <w:sz w:val="18"/>
      <w:szCs w:val="18"/>
    </w:rPr>
  </w:style>
  <w:style w:type="character" w:customStyle="1" w:styleId="282">
    <w:name w:val="批注框文本 Char2"/>
    <w:semiHidden/>
    <w:qFormat/>
    <w:uiPriority w:val="99"/>
    <w:rPr>
      <w:kern w:val="2"/>
      <w:sz w:val="18"/>
      <w:szCs w:val="18"/>
    </w:rPr>
  </w:style>
  <w:style w:type="character" w:customStyle="1" w:styleId="283">
    <w:name w:val="正文文本 Char2"/>
    <w:semiHidden/>
    <w:qFormat/>
    <w:uiPriority w:val="99"/>
    <w:rPr>
      <w:kern w:val="2"/>
      <w:sz w:val="21"/>
      <w:szCs w:val="24"/>
    </w:rPr>
  </w:style>
  <w:style w:type="character" w:customStyle="1" w:styleId="284">
    <w:name w:val="批注文字 Char1"/>
    <w:semiHidden/>
    <w:qFormat/>
    <w:uiPriority w:val="99"/>
    <w:rPr>
      <w:kern w:val="2"/>
      <w:sz w:val="21"/>
      <w:szCs w:val="24"/>
    </w:rPr>
  </w:style>
  <w:style w:type="character" w:customStyle="1" w:styleId="285">
    <w:name w:val="正文文本缩进 2 Char2"/>
    <w:semiHidden/>
    <w:qFormat/>
    <w:uiPriority w:val="99"/>
    <w:rPr>
      <w:kern w:val="2"/>
      <w:sz w:val="21"/>
      <w:szCs w:val="24"/>
    </w:rPr>
  </w:style>
  <w:style w:type="character" w:customStyle="1" w:styleId="286">
    <w:name w:val="标题 Char1"/>
    <w:qFormat/>
    <w:uiPriority w:val="10"/>
    <w:rPr>
      <w:rFonts w:ascii="Calibri Light" w:hAnsi="Calibri Light" w:cs="Times New Roman"/>
      <w:b/>
      <w:bCs/>
      <w:kern w:val="2"/>
      <w:sz w:val="32"/>
      <w:szCs w:val="32"/>
    </w:rPr>
  </w:style>
  <w:style w:type="character" w:customStyle="1" w:styleId="287">
    <w:name w:val="gwdtitle1"/>
    <w:qFormat/>
    <w:uiPriority w:val="0"/>
  </w:style>
  <w:style w:type="character" w:customStyle="1" w:styleId="288">
    <w:name w:val="linknamespan1"/>
    <w:qFormat/>
    <w:uiPriority w:val="0"/>
  </w:style>
  <w:style w:type="character" w:customStyle="1" w:styleId="289">
    <w:name w:val="description"/>
    <w:qFormat/>
    <w:uiPriority w:val="0"/>
  </w:style>
  <w:style w:type="paragraph" w:customStyle="1" w:styleId="290">
    <w:name w:val="Char2 Char Char Char Char Char Char1 Char Char Char Char Char Char"/>
    <w:basedOn w:val="1"/>
    <w:qFormat/>
    <w:uiPriority w:val="0"/>
    <w:pPr>
      <w:snapToGrid w:val="0"/>
      <w:spacing w:beforeLines="100" w:afterLines="50"/>
      <w:ind w:firstLine="0" w:firstLineChars="0"/>
    </w:pPr>
    <w:rPr>
      <w:rFonts w:ascii="宋体" w:hAnsi="宋体" w:eastAsia="黑体" w:cs="宋体"/>
      <w:sz w:val="28"/>
      <w:szCs w:val="24"/>
    </w:rPr>
  </w:style>
  <w:style w:type="character" w:customStyle="1" w:styleId="291">
    <w:name w:val="标题 9 字符"/>
    <w:qFormat/>
    <w:uiPriority w:val="0"/>
    <w:rPr>
      <w:rFonts w:ascii="Arial" w:hAnsi="Arial" w:eastAsia="黑体" w:cs="Times New Roman"/>
      <w:kern w:val="0"/>
      <w:sz w:val="20"/>
      <w:szCs w:val="21"/>
    </w:rPr>
  </w:style>
  <w:style w:type="character" w:customStyle="1" w:styleId="292">
    <w:name w:val="批注框文本 字符"/>
    <w:semiHidden/>
    <w:qFormat/>
    <w:uiPriority w:val="0"/>
    <w:rPr>
      <w:rFonts w:ascii="Times New Roman" w:hAnsi="Times New Roman" w:eastAsia="宋体" w:cs="Times New Roman"/>
      <w:sz w:val="18"/>
      <w:szCs w:val="18"/>
    </w:rPr>
  </w:style>
  <w:style w:type="character" w:customStyle="1" w:styleId="293">
    <w:name w:val="正文文本缩进 2 字符"/>
    <w:qFormat/>
    <w:uiPriority w:val="0"/>
    <w:rPr>
      <w:rFonts w:ascii="Times New Roman" w:hAnsi="Times New Roman" w:eastAsia="宋体" w:cs="Times New Roman"/>
      <w:szCs w:val="24"/>
    </w:rPr>
  </w:style>
  <w:style w:type="character" w:customStyle="1" w:styleId="294">
    <w:name w:val="HTML 预设格式 字符"/>
    <w:qFormat/>
    <w:uiPriority w:val="99"/>
    <w:rPr>
      <w:rFonts w:ascii="宋体" w:hAnsi="宋体" w:cs="宋体"/>
      <w:sz w:val="24"/>
      <w:szCs w:val="24"/>
    </w:rPr>
  </w:style>
  <w:style w:type="character" w:customStyle="1" w:styleId="295">
    <w:name w:val="文档结构图 字符"/>
    <w:semiHidden/>
    <w:qFormat/>
    <w:uiPriority w:val="99"/>
    <w:rPr>
      <w:rFonts w:ascii="Times New Roman" w:hAnsi="Times New Roman" w:eastAsia="宋体" w:cs="Times New Roman"/>
      <w:szCs w:val="24"/>
      <w:shd w:val="clear" w:color="auto" w:fill="000080"/>
    </w:rPr>
  </w:style>
  <w:style w:type="character" w:customStyle="1" w:styleId="296">
    <w:name w:val="正文文本缩进 2 Char3"/>
    <w:semiHidden/>
    <w:qFormat/>
    <w:uiPriority w:val="99"/>
    <w:rPr>
      <w:rFonts w:ascii="Times New Roman" w:hAnsi="Times New Roman" w:eastAsia="宋体" w:cs="Times New Roman"/>
      <w:szCs w:val="24"/>
    </w:rPr>
  </w:style>
  <w:style w:type="character" w:customStyle="1" w:styleId="297">
    <w:name w:val="正文文本缩进 Char3"/>
    <w:semiHidden/>
    <w:qFormat/>
    <w:uiPriority w:val="99"/>
    <w:rPr>
      <w:rFonts w:ascii="Times New Roman" w:hAnsi="Times New Roman" w:eastAsia="宋体" w:cs="Times New Roman"/>
      <w:szCs w:val="24"/>
    </w:rPr>
  </w:style>
  <w:style w:type="character" w:customStyle="1" w:styleId="298">
    <w:name w:val="批注框文本 Char3"/>
    <w:semiHidden/>
    <w:qFormat/>
    <w:uiPriority w:val="99"/>
    <w:rPr>
      <w:rFonts w:ascii="Times New Roman" w:hAnsi="Times New Roman" w:eastAsia="宋体" w:cs="Times New Roman"/>
      <w:sz w:val="18"/>
      <w:szCs w:val="18"/>
    </w:rPr>
  </w:style>
  <w:style w:type="character" w:customStyle="1" w:styleId="299">
    <w:name w:val="正文文本 Char3"/>
    <w:semiHidden/>
    <w:qFormat/>
    <w:uiPriority w:val="99"/>
    <w:rPr>
      <w:rFonts w:ascii="Times New Roman" w:hAnsi="Times New Roman" w:eastAsia="宋体" w:cs="Times New Roman"/>
      <w:szCs w:val="24"/>
    </w:rPr>
  </w:style>
  <w:style w:type="character" w:customStyle="1" w:styleId="300">
    <w:name w:val="文档结构图 Char3"/>
    <w:semiHidden/>
    <w:qFormat/>
    <w:uiPriority w:val="99"/>
    <w:rPr>
      <w:rFonts w:ascii="Microsoft YaHei UI" w:hAnsi="Times New Roman" w:eastAsia="Microsoft YaHei UI" w:cs="Times New Roman"/>
      <w:sz w:val="18"/>
      <w:szCs w:val="18"/>
    </w:rPr>
  </w:style>
  <w:style w:type="character" w:customStyle="1" w:styleId="301">
    <w:name w:val="纯文本 Char3"/>
    <w:semiHidden/>
    <w:qFormat/>
    <w:uiPriority w:val="99"/>
    <w:rPr>
      <w:rFonts w:ascii="宋体" w:hAnsi="Courier New" w:eastAsia="宋体" w:cs="Courier New"/>
      <w:szCs w:val="21"/>
    </w:rPr>
  </w:style>
  <w:style w:type="character" w:customStyle="1" w:styleId="302">
    <w:name w:val="批注文字 Char2"/>
    <w:semiHidden/>
    <w:qFormat/>
    <w:uiPriority w:val="99"/>
    <w:rPr>
      <w:rFonts w:ascii="Times New Roman" w:hAnsi="Times New Roman" w:eastAsia="宋体" w:cs="Times New Roman"/>
      <w:szCs w:val="24"/>
    </w:rPr>
  </w:style>
  <w:style w:type="character" w:customStyle="1" w:styleId="303">
    <w:name w:val="HTML 预设格式 Char2"/>
    <w:semiHidden/>
    <w:qFormat/>
    <w:uiPriority w:val="99"/>
    <w:rPr>
      <w:rFonts w:ascii="Courier New" w:hAnsi="Courier New" w:eastAsia="宋体" w:cs="Courier New"/>
      <w:sz w:val="20"/>
      <w:szCs w:val="20"/>
    </w:rPr>
  </w:style>
  <w:style w:type="character" w:customStyle="1" w:styleId="304">
    <w:name w:val="副标题 Char2"/>
    <w:qFormat/>
    <w:uiPriority w:val="11"/>
    <w:rPr>
      <w:rFonts w:ascii="Calibri Light" w:hAnsi="Calibri Light" w:eastAsia="宋体" w:cs="Times New Roman"/>
      <w:b/>
      <w:bCs/>
      <w:kern w:val="28"/>
      <w:sz w:val="32"/>
      <w:szCs w:val="32"/>
    </w:rPr>
  </w:style>
  <w:style w:type="character" w:customStyle="1" w:styleId="305">
    <w:name w:val="标题 Char2"/>
    <w:qFormat/>
    <w:uiPriority w:val="10"/>
    <w:rPr>
      <w:rFonts w:ascii="Calibri Light" w:hAnsi="Calibri Light" w:eastAsia="宋体" w:cs="Times New Roman"/>
      <w:b/>
      <w:bCs/>
      <w:sz w:val="32"/>
      <w:szCs w:val="32"/>
    </w:rPr>
  </w:style>
  <w:style w:type="paragraph" w:customStyle="1" w:styleId="306">
    <w:name w:val="Char Char Char Char1 Char Char Char Char Char Char"/>
    <w:basedOn w:val="1"/>
    <w:qFormat/>
    <w:uiPriority w:val="0"/>
    <w:pPr>
      <w:spacing w:line="240" w:lineRule="auto"/>
      <w:ind w:firstLine="0" w:firstLineChars="0"/>
    </w:pPr>
    <w:rPr>
      <w:rFonts w:ascii="Times" w:hAnsi="Times" w:eastAsia="黑体" w:cs="Times New Roman"/>
      <w:sz w:val="28"/>
      <w:szCs w:val="28"/>
    </w:rPr>
  </w:style>
  <w:style w:type="paragraph" w:customStyle="1" w:styleId="307">
    <w:name w:val="【正文】"/>
    <w:basedOn w:val="18"/>
    <w:qFormat/>
    <w:uiPriority w:val="0"/>
    <w:pPr>
      <w:adjustRightInd w:val="0"/>
      <w:snapToGrid w:val="0"/>
      <w:spacing w:after="0"/>
    </w:pPr>
    <w:rPr>
      <w:rFonts w:ascii="Calibri" w:hAnsi="Calibri" w:cs="Times New Roman"/>
      <w:szCs w:val="24"/>
    </w:rPr>
  </w:style>
  <w:style w:type="table" w:customStyle="1" w:styleId="308">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3" Type="http://schemas.openxmlformats.org/officeDocument/2006/relationships/fontTable" Target="fontTable.xml"/><Relationship Id="rId62" Type="http://schemas.openxmlformats.org/officeDocument/2006/relationships/customXml" Target="../customXml/item2.xml"/><Relationship Id="rId61" Type="http://schemas.openxmlformats.org/officeDocument/2006/relationships/numbering" Target="numbering.xml"/><Relationship Id="rId60" Type="http://schemas.openxmlformats.org/officeDocument/2006/relationships/customXml" Target="../customXml/item1.xml"/><Relationship Id="rId6" Type="http://schemas.openxmlformats.org/officeDocument/2006/relationships/header" Target="header2.xml"/><Relationship Id="rId59" Type="http://schemas.openxmlformats.org/officeDocument/2006/relationships/image" Target="media/image37.jpeg"/><Relationship Id="rId58" Type="http://schemas.openxmlformats.org/officeDocument/2006/relationships/image" Target="media/image36.jpeg"/><Relationship Id="rId57" Type="http://schemas.openxmlformats.org/officeDocument/2006/relationships/image" Target="media/image35.jpeg"/><Relationship Id="rId56" Type="http://schemas.openxmlformats.org/officeDocument/2006/relationships/image" Target="media/image34.jpeg"/><Relationship Id="rId55" Type="http://schemas.openxmlformats.org/officeDocument/2006/relationships/image" Target="media/image33.jpeg"/><Relationship Id="rId54" Type="http://schemas.openxmlformats.org/officeDocument/2006/relationships/image" Target="media/image32.jpeg"/><Relationship Id="rId53" Type="http://schemas.openxmlformats.org/officeDocument/2006/relationships/image" Target="media/image31.jpeg"/><Relationship Id="rId52" Type="http://schemas.openxmlformats.org/officeDocument/2006/relationships/image" Target="media/image30.jpeg"/><Relationship Id="rId51" Type="http://schemas.openxmlformats.org/officeDocument/2006/relationships/image" Target="media/image29.jpeg"/><Relationship Id="rId50" Type="http://schemas.openxmlformats.org/officeDocument/2006/relationships/image" Target="media/image28.jpeg"/><Relationship Id="rId5" Type="http://schemas.openxmlformats.org/officeDocument/2006/relationships/header" Target="header1.xml"/><Relationship Id="rId49" Type="http://schemas.openxmlformats.org/officeDocument/2006/relationships/image" Target="media/image27.jpeg"/><Relationship Id="rId48" Type="http://schemas.openxmlformats.org/officeDocument/2006/relationships/image" Target="media/image26.jpeg"/><Relationship Id="rId47" Type="http://schemas.openxmlformats.org/officeDocument/2006/relationships/image" Target="media/image25.jpeg"/><Relationship Id="rId46" Type="http://schemas.openxmlformats.org/officeDocument/2006/relationships/image" Target="media/image24.jpeg"/><Relationship Id="rId45" Type="http://schemas.openxmlformats.org/officeDocument/2006/relationships/image" Target="media/image23.jpeg"/><Relationship Id="rId44" Type="http://schemas.openxmlformats.org/officeDocument/2006/relationships/image" Target="media/image22.jpeg"/><Relationship Id="rId43" Type="http://schemas.openxmlformats.org/officeDocument/2006/relationships/image" Target="media/image21.jpeg"/><Relationship Id="rId42" Type="http://schemas.openxmlformats.org/officeDocument/2006/relationships/image" Target="media/image20.jpeg"/><Relationship Id="rId41" Type="http://schemas.openxmlformats.org/officeDocument/2006/relationships/image" Target="media/image19.jpeg"/><Relationship Id="rId40" Type="http://schemas.openxmlformats.org/officeDocument/2006/relationships/image" Target="media/image18.jpeg"/><Relationship Id="rId4" Type="http://schemas.openxmlformats.org/officeDocument/2006/relationships/endnotes" Target="endnotes.xml"/><Relationship Id="rId39" Type="http://schemas.openxmlformats.org/officeDocument/2006/relationships/image" Target="media/image17.jpeg"/><Relationship Id="rId38" Type="http://schemas.openxmlformats.org/officeDocument/2006/relationships/image" Target="media/image16.jpeg"/><Relationship Id="rId37" Type="http://schemas.openxmlformats.org/officeDocument/2006/relationships/image" Target="media/image15.jpeg"/><Relationship Id="rId36" Type="http://schemas.openxmlformats.org/officeDocument/2006/relationships/image" Target="media/image14.jpeg"/><Relationship Id="rId35" Type="http://schemas.openxmlformats.org/officeDocument/2006/relationships/image" Target="media/image13.jpeg"/><Relationship Id="rId34" Type="http://schemas.openxmlformats.org/officeDocument/2006/relationships/image" Target="media/image12.jpeg"/><Relationship Id="rId33" Type="http://schemas.openxmlformats.org/officeDocument/2006/relationships/image" Target="media/image11.jpeg"/><Relationship Id="rId32" Type="http://schemas.openxmlformats.org/officeDocument/2006/relationships/image" Target="media/image10.jpeg"/><Relationship Id="rId31" Type="http://schemas.openxmlformats.org/officeDocument/2006/relationships/image" Target="media/image9.jpeg"/><Relationship Id="rId30" Type="http://schemas.openxmlformats.org/officeDocument/2006/relationships/image" Target="media/image8.jpeg"/><Relationship Id="rId3" Type="http://schemas.openxmlformats.org/officeDocument/2006/relationships/footnotes" Target="footnotes.xml"/><Relationship Id="rId29" Type="http://schemas.openxmlformats.org/officeDocument/2006/relationships/image" Target="media/image7.jpeg"/><Relationship Id="rId28" Type="http://schemas.openxmlformats.org/officeDocument/2006/relationships/image" Target="media/image6.jpeg"/><Relationship Id="rId27" Type="http://schemas.openxmlformats.org/officeDocument/2006/relationships/image" Target="media/image5.jpeg"/><Relationship Id="rId26" Type="http://schemas.openxmlformats.org/officeDocument/2006/relationships/image" Target="media/image4.jpeg"/><Relationship Id="rId25" Type="http://schemas.openxmlformats.org/officeDocument/2006/relationships/image" Target="media/image3.jpeg"/><Relationship Id="rId24" Type="http://schemas.openxmlformats.org/officeDocument/2006/relationships/image" Target="media/image2.jpeg"/><Relationship Id="rId23" Type="http://schemas.openxmlformats.org/officeDocument/2006/relationships/image" Target="media/image1.jpeg"/><Relationship Id="rId22" Type="http://schemas.openxmlformats.org/officeDocument/2006/relationships/theme" Target="theme/theme1.xml"/><Relationship Id="rId21" Type="http://schemas.openxmlformats.org/officeDocument/2006/relationships/header" Target="header7.xml"/><Relationship Id="rId20" Type="http://schemas.openxmlformats.org/officeDocument/2006/relationships/footer" Target="footer10.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footer" Target="footer8.xml"/><Relationship Id="rId17" Type="http://schemas.openxmlformats.org/officeDocument/2006/relationships/footer" Target="footer7.xml"/><Relationship Id="rId16" Type="http://schemas.openxmlformats.org/officeDocument/2006/relationships/footer" Target="footer6.xml"/><Relationship Id="rId15" Type="http://schemas.openxmlformats.org/officeDocument/2006/relationships/footer" Target="footer5.xml"/><Relationship Id="rId14" Type="http://schemas.openxmlformats.org/officeDocument/2006/relationships/footer" Target="footer4.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B24F0CF-24EC-4DFA-963C-38409C742793}">
  <ds:schemaRefs/>
</ds:datastoreItem>
</file>

<file path=docProps/app.xml><?xml version="1.0" encoding="utf-8"?>
<Properties xmlns="http://schemas.openxmlformats.org/officeDocument/2006/extended-properties" xmlns:vt="http://schemas.openxmlformats.org/officeDocument/2006/docPropsVTypes">
  <Template>Normal</Template>
  <Company>KIB</Company>
  <Pages>115</Pages>
  <Words>45813</Words>
  <Characters>56752</Characters>
  <Lines>389</Lines>
  <Paragraphs>109</Paragraphs>
  <TotalTime>5</TotalTime>
  <ScaleCrop>false</ScaleCrop>
  <LinksUpToDate>false</LinksUpToDate>
  <CharactersWithSpaces>58145</CharactersWithSpaces>
  <Application>WPS Office_11.1.0.11830_F1E327BC-269C-435d-A152-05C5408002CA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2019-12-18T09:46:00Z</dcterms:created>
  <dc:creator>Tang Ying</dc:creator>
  <cp:lastModifiedBy>WPS_1632642930</cp:lastModifiedBy>
  <cp:lastPrinted>2017-04-17T07:18:00Z</cp:lastPrinted>
  <dcterms:modified xsi:type="dcterms:W3CDTF">2022-07-06T07:53:24Z</dcterms:modified>
  <cp:revision>117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2052-11.1.0.11830</vt:lpwstr>
  </property>
  <property fmtid="{D5CDD505-2E9C-101B-9397-08002B2CF9AE}" pid="3" name="ICV">
    <vt:lpwstr>7CCE16D98A7F4863AD01E7CD4B5366F5</vt:lpwstr>
  </property>
  <property fmtid="{D5CDD505-2E9C-101B-9397-08002B2CF9AE}" pid="4" name="commondata">
    <vt:lpwstr>eyJoZGlkIjoiZmZkZDU4MjYyYjQxYWFmY2U1MzYxMDI5MDI5YmI1YjkifQ==</vt:lpwstr>
  </property>
</Properties>
</file>